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B7" w:rsidRDefault="003A5AB7" w:rsidP="003A5AB7">
      <w:pPr>
        <w:pStyle w:val="a5"/>
        <w:spacing w:line="360" w:lineRule="auto"/>
        <w:rPr>
          <w:rFonts w:ascii="宋体" w:hAnsi="宋体" w:hint="eastAsia"/>
          <w:sz w:val="30"/>
          <w:szCs w:val="30"/>
        </w:rPr>
      </w:pPr>
      <w:bookmarkStart w:id="0" w:name="_Toc410917414"/>
      <w:r>
        <w:rPr>
          <w:rFonts w:ascii="宋体" w:hAnsi="宋体" w:hint="eastAsia"/>
          <w:sz w:val="30"/>
          <w:szCs w:val="30"/>
        </w:rPr>
        <w:t>冷压取向硅钢带（片）技术规范</w:t>
      </w:r>
      <w:bookmarkEnd w:id="0"/>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总则</w:t>
      </w:r>
    </w:p>
    <w:p w:rsidR="003A5AB7" w:rsidRDefault="003A5AB7" w:rsidP="003A5AB7">
      <w:pPr>
        <w:numPr>
          <w:ilvl w:val="0"/>
          <w:numId w:val="2"/>
        </w:numPr>
        <w:spacing w:line="360" w:lineRule="auto"/>
        <w:ind w:left="0" w:firstLine="426"/>
        <w:rPr>
          <w:rFonts w:ascii="宋体" w:hAnsi="宋体"/>
          <w:sz w:val="24"/>
        </w:rPr>
      </w:pPr>
      <w:r>
        <w:rPr>
          <w:rFonts w:ascii="宋体" w:hAnsi="宋体" w:hint="eastAsia"/>
          <w:sz w:val="24"/>
        </w:rPr>
        <w:t xml:space="preserve">本规范提出了采购变压器用的冷压取向硅钢带的结构、功能、性能等方面的技术要求。 </w:t>
      </w:r>
    </w:p>
    <w:p w:rsidR="003A5AB7" w:rsidRDefault="003A5AB7" w:rsidP="003A5AB7">
      <w:pPr>
        <w:numPr>
          <w:ilvl w:val="0"/>
          <w:numId w:val="2"/>
        </w:numPr>
        <w:spacing w:line="360" w:lineRule="auto"/>
        <w:ind w:left="0" w:firstLine="426"/>
        <w:rPr>
          <w:rFonts w:ascii="宋体" w:hAnsi="宋体" w:hint="eastAsia"/>
          <w:sz w:val="24"/>
        </w:rPr>
      </w:pPr>
      <w:r>
        <w:rPr>
          <w:rFonts w:ascii="宋体" w:hAnsi="宋体" w:hint="eastAsia"/>
          <w:sz w:val="24"/>
        </w:rPr>
        <w:t>供应商应充分理解本规范，供应的产品应符合本规范规定的技术要求。</w:t>
      </w:r>
    </w:p>
    <w:p w:rsidR="003A5AB7" w:rsidRDefault="003A5AB7" w:rsidP="003A5AB7">
      <w:pPr>
        <w:numPr>
          <w:ilvl w:val="0"/>
          <w:numId w:val="2"/>
        </w:numPr>
        <w:spacing w:line="360" w:lineRule="auto"/>
        <w:ind w:left="0" w:firstLine="426"/>
        <w:rPr>
          <w:rFonts w:ascii="宋体" w:hAnsi="宋体" w:hint="eastAsia"/>
          <w:sz w:val="24"/>
        </w:rPr>
      </w:pPr>
      <w:r>
        <w:rPr>
          <w:rFonts w:ascii="宋体" w:hAnsi="宋体" w:hint="eastAsia"/>
          <w:sz w:val="24"/>
        </w:rPr>
        <w:t>本规范提出的是最低限度的技术要求。凡本规范中未规定，但在相关设备的行业标准、国家标准或</w:t>
      </w:r>
      <w:r>
        <w:rPr>
          <w:rFonts w:ascii="宋体" w:hAnsi="宋体"/>
          <w:sz w:val="24"/>
        </w:rPr>
        <w:t>IEC</w:t>
      </w:r>
      <w:r>
        <w:rPr>
          <w:rFonts w:ascii="宋体" w:hAnsi="宋体" w:hint="eastAsia"/>
          <w:sz w:val="24"/>
        </w:rPr>
        <w:t>标准中有规定的规范条文，投标方应按相应标准的条文进行设备设计、制造、试验。对国家有关安全、环保等强制性标准，必须满足其要求。</w:t>
      </w:r>
    </w:p>
    <w:p w:rsidR="003A5AB7" w:rsidRDefault="003A5AB7" w:rsidP="003A5AB7">
      <w:pPr>
        <w:numPr>
          <w:ilvl w:val="0"/>
          <w:numId w:val="2"/>
        </w:numPr>
        <w:spacing w:line="360" w:lineRule="auto"/>
        <w:ind w:left="0" w:firstLine="426"/>
        <w:rPr>
          <w:rFonts w:ascii="宋体" w:hAnsi="宋体"/>
          <w:sz w:val="24"/>
        </w:rPr>
      </w:pPr>
      <w:r>
        <w:rPr>
          <w:rFonts w:ascii="宋体" w:hAnsi="宋体" w:hint="eastAsia"/>
          <w:sz w:val="24"/>
        </w:rPr>
        <w:t>本规范所引用的标准，其内容适用于本规范，如遇到与供应商所执行的标准不一致时，</w:t>
      </w:r>
      <w:r>
        <w:rPr>
          <w:rFonts w:ascii="宋体" w:hAnsi="宋体"/>
          <w:sz w:val="24"/>
        </w:rPr>
        <w:t xml:space="preserve"> </w:t>
      </w:r>
      <w:r>
        <w:rPr>
          <w:rFonts w:ascii="宋体" w:hAnsi="宋体" w:hint="eastAsia"/>
          <w:sz w:val="24"/>
        </w:rPr>
        <w:t>按较高标准执行。</w:t>
      </w:r>
    </w:p>
    <w:p w:rsidR="003A5AB7" w:rsidRDefault="003A5AB7" w:rsidP="003A5AB7">
      <w:pPr>
        <w:numPr>
          <w:ilvl w:val="0"/>
          <w:numId w:val="2"/>
        </w:numPr>
        <w:spacing w:line="360" w:lineRule="auto"/>
        <w:ind w:left="0" w:firstLine="426"/>
        <w:rPr>
          <w:rFonts w:ascii="宋体" w:hAnsi="宋体"/>
          <w:sz w:val="24"/>
        </w:rPr>
      </w:pPr>
      <w:r>
        <w:rPr>
          <w:rFonts w:ascii="宋体" w:hAnsi="宋体" w:hint="eastAsia"/>
          <w:sz w:val="24"/>
        </w:rPr>
        <w:t>如果供应商没有以书面形式对本规范的条文提出异议，</w:t>
      </w:r>
      <w:r>
        <w:rPr>
          <w:rFonts w:ascii="宋体" w:hAnsi="宋体"/>
          <w:sz w:val="24"/>
        </w:rPr>
        <w:t xml:space="preserve"> </w:t>
      </w:r>
      <w:r>
        <w:rPr>
          <w:rFonts w:ascii="宋体" w:hAnsi="宋体" w:hint="eastAsia"/>
          <w:sz w:val="24"/>
        </w:rPr>
        <w:t>则意味着供应商提供的产品完全符合本规范的要求。如有异议，</w:t>
      </w:r>
      <w:r>
        <w:rPr>
          <w:rFonts w:ascii="宋体" w:hAnsi="宋体"/>
          <w:sz w:val="24"/>
        </w:rPr>
        <w:t xml:space="preserve"> </w:t>
      </w:r>
      <w:r>
        <w:rPr>
          <w:rFonts w:ascii="宋体" w:hAnsi="宋体" w:hint="eastAsia"/>
          <w:sz w:val="24"/>
        </w:rPr>
        <w:t>不管是多么微小，</w:t>
      </w:r>
      <w:r>
        <w:rPr>
          <w:rFonts w:ascii="宋体" w:hAnsi="宋体"/>
          <w:sz w:val="24"/>
        </w:rPr>
        <w:t xml:space="preserve"> </w:t>
      </w:r>
      <w:r>
        <w:rPr>
          <w:rFonts w:ascii="宋体" w:hAnsi="宋体" w:hint="eastAsia"/>
          <w:sz w:val="24"/>
        </w:rPr>
        <w:t>都应以书面文件反馈说明原因。</w:t>
      </w:r>
    </w:p>
    <w:p w:rsidR="003A5AB7" w:rsidRDefault="003A5AB7" w:rsidP="003A5AB7">
      <w:pPr>
        <w:numPr>
          <w:ilvl w:val="0"/>
          <w:numId w:val="2"/>
        </w:numPr>
        <w:spacing w:line="360" w:lineRule="auto"/>
        <w:ind w:left="0" w:firstLine="425"/>
        <w:rPr>
          <w:rFonts w:ascii="宋体" w:hAnsi="宋体"/>
          <w:sz w:val="24"/>
        </w:rPr>
      </w:pPr>
      <w:r>
        <w:rPr>
          <w:rFonts w:ascii="宋体" w:hAnsi="宋体" w:hint="eastAsia"/>
          <w:sz w:val="24"/>
        </w:rPr>
        <w:t>供应商应如实反映所供应的产品与本规范所规定的技术差异。如果供应商没有提出技术差异，而在执行合同的过程中，我公司发现供应商提供的产品与本规范的条文存在差异，我公司有权利要求退货。</w:t>
      </w:r>
    </w:p>
    <w:p w:rsidR="003A5AB7" w:rsidRDefault="003A5AB7" w:rsidP="003A5AB7">
      <w:pPr>
        <w:numPr>
          <w:ilvl w:val="0"/>
          <w:numId w:val="2"/>
        </w:numPr>
        <w:spacing w:line="360" w:lineRule="auto"/>
        <w:ind w:left="0" w:firstLine="426"/>
        <w:rPr>
          <w:rFonts w:ascii="宋体" w:hAnsi="宋体"/>
          <w:sz w:val="24"/>
        </w:rPr>
      </w:pPr>
      <w:r>
        <w:rPr>
          <w:rFonts w:ascii="宋体" w:hAnsi="宋体" w:hint="eastAsia"/>
          <w:sz w:val="24"/>
        </w:rPr>
        <w:t>本规范未尽事宜，由我公司与供应商双方协商确定。</w:t>
      </w:r>
    </w:p>
    <w:p w:rsidR="003A5AB7" w:rsidRDefault="003A5AB7" w:rsidP="003A5AB7">
      <w:pPr>
        <w:numPr>
          <w:ilvl w:val="0"/>
          <w:numId w:val="2"/>
        </w:numPr>
        <w:spacing w:line="360" w:lineRule="auto"/>
        <w:ind w:left="0" w:firstLine="426"/>
        <w:rPr>
          <w:rFonts w:ascii="宋体" w:hAnsi="宋体" w:hint="eastAsia"/>
          <w:sz w:val="24"/>
        </w:rPr>
      </w:pPr>
      <w:r>
        <w:rPr>
          <w:rFonts w:ascii="宋体" w:hAnsi="宋体" w:hint="eastAsia"/>
          <w:sz w:val="24"/>
        </w:rPr>
        <w:t>本规范经我公司与供应商双方确认后作为订货合同的技术附件，与合同正文具有同等的法律效力。</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适用范围</w:t>
      </w:r>
    </w:p>
    <w:p w:rsidR="003A5AB7" w:rsidRDefault="003A5AB7" w:rsidP="003A5AB7">
      <w:pPr>
        <w:spacing w:line="360" w:lineRule="auto"/>
        <w:ind w:firstLineChars="177" w:firstLine="425"/>
        <w:rPr>
          <w:rFonts w:ascii="宋体" w:hAnsi="宋体" w:hint="eastAsia"/>
          <w:sz w:val="24"/>
        </w:rPr>
      </w:pPr>
      <w:r>
        <w:rPr>
          <w:rFonts w:ascii="宋体" w:hAnsi="宋体" w:hint="eastAsia"/>
          <w:sz w:val="24"/>
        </w:rPr>
        <w:t>本规范适用于海南威特电气集团有限公司变压器生产所需要的变压器冷压取向硅钢带的采购。</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引用标准</w:t>
      </w:r>
    </w:p>
    <w:p w:rsidR="003A5AB7" w:rsidRDefault="003A5AB7" w:rsidP="003A5AB7">
      <w:pPr>
        <w:pStyle w:val="a6"/>
        <w:spacing w:line="360" w:lineRule="auto"/>
        <w:ind w:left="567" w:firstLineChars="0" w:firstLine="0"/>
        <w:rPr>
          <w:rFonts w:hAnsi="宋体" w:hint="eastAsia"/>
          <w:sz w:val="24"/>
          <w:szCs w:val="24"/>
        </w:rPr>
      </w:pPr>
      <w:r>
        <w:rPr>
          <w:rFonts w:hAnsi="宋体" w:hint="eastAsia"/>
          <w:sz w:val="24"/>
          <w:szCs w:val="24"/>
        </w:rPr>
        <w:t xml:space="preserve">GB/T 2521-2008 </w:t>
      </w:r>
      <w:r>
        <w:rPr>
          <w:rFonts w:hAnsi="宋体" w:hint="eastAsia"/>
          <w:sz w:val="24"/>
          <w:szCs w:val="21"/>
        </w:rPr>
        <w:t>《冷压取向和无取向电工钢带(片)》。</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材质</w:t>
      </w:r>
    </w:p>
    <w:p w:rsidR="003A5AB7" w:rsidRDefault="003A5AB7" w:rsidP="003A5AB7">
      <w:pPr>
        <w:pStyle w:val="a6"/>
        <w:spacing w:line="360" w:lineRule="auto"/>
        <w:ind w:left="567" w:firstLineChars="0" w:firstLine="0"/>
        <w:rPr>
          <w:rFonts w:hAnsi="宋体" w:hint="eastAsia"/>
          <w:sz w:val="24"/>
          <w:szCs w:val="24"/>
        </w:rPr>
      </w:pPr>
      <w:r>
        <w:rPr>
          <w:rFonts w:hAnsi="宋体" w:hint="eastAsia"/>
          <w:sz w:val="24"/>
          <w:szCs w:val="24"/>
        </w:rPr>
        <w:t xml:space="preserve">变压器用的硅钢带（片）原材料应以国内外优质冷轧晶粒高导磁率级取向硅钢片为准， </w:t>
      </w:r>
    </w:p>
    <w:p w:rsidR="003A5AB7" w:rsidRDefault="003A5AB7" w:rsidP="003A5AB7">
      <w:pPr>
        <w:pStyle w:val="a6"/>
        <w:spacing w:line="360" w:lineRule="auto"/>
        <w:ind w:firstLineChars="0" w:firstLine="0"/>
        <w:rPr>
          <w:rFonts w:hAnsi="宋体" w:hint="eastAsia"/>
          <w:sz w:val="24"/>
          <w:szCs w:val="24"/>
        </w:rPr>
      </w:pPr>
      <w:r>
        <w:rPr>
          <w:rFonts w:hAnsi="宋体" w:hint="eastAsia"/>
          <w:sz w:val="24"/>
          <w:szCs w:val="24"/>
        </w:rPr>
        <w:t>首选武钢、宝钢、新日铁、川崎、浦项等为供应商。</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lastRenderedPageBreak/>
        <w:t>型号规格</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硅钢带（片）型号规格不低于30Q120，单位铁损在1.7T/50Hz时，不大于1.2W/kg。型号规格与单位铁损以表1为准，用在35kV级变压器的硅钢片厚度不大于0.27mm。</w:t>
      </w:r>
    </w:p>
    <w:p w:rsidR="003A5AB7" w:rsidRDefault="003A5AB7" w:rsidP="003A5AB7">
      <w:pPr>
        <w:spacing w:line="360" w:lineRule="auto"/>
        <w:jc w:val="center"/>
        <w:rPr>
          <w:rFonts w:ascii="宋体" w:hAnsi="宋体" w:hint="eastAsia"/>
          <w:sz w:val="24"/>
        </w:rPr>
      </w:pPr>
      <w:r>
        <w:rPr>
          <w:rFonts w:ascii="宋体" w:hAnsi="宋体" w:hint="eastAsia"/>
          <w:sz w:val="24"/>
        </w:rPr>
        <w:t>表2</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tblPr>
      <w:tblGrid>
        <w:gridCol w:w="2308"/>
        <w:gridCol w:w="3919"/>
      </w:tblGrid>
      <w:tr w:rsidR="003A5AB7" w:rsidTr="006E539A">
        <w:trPr>
          <w:trHeight w:hRule="exact" w:val="454"/>
          <w:jc w:val="center"/>
        </w:trPr>
        <w:tc>
          <w:tcPr>
            <w:tcW w:w="2308"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厚度±公差（mm</w:t>
            </w:r>
            <w:r>
              <w:rPr>
                <w:rFonts w:ascii="宋体" w:hAnsi="宋体"/>
                <w:szCs w:val="21"/>
              </w:rPr>
              <w:t>）</w:t>
            </w:r>
          </w:p>
        </w:tc>
        <w:tc>
          <w:tcPr>
            <w:tcW w:w="3919"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最大比总损耗/（W/kg</w:t>
            </w:r>
            <w:r>
              <w:rPr>
                <w:rFonts w:ascii="宋体" w:hAnsi="宋体"/>
                <w:szCs w:val="21"/>
              </w:rPr>
              <w:t>）</w:t>
            </w:r>
            <w:r>
              <w:rPr>
                <w:rFonts w:ascii="宋体" w:hAnsi="宋体" w:hint="eastAsia"/>
                <w:szCs w:val="21"/>
              </w:rPr>
              <w:t xml:space="preserve">  1.7T/50Hz</w:t>
            </w:r>
          </w:p>
        </w:tc>
      </w:tr>
      <w:tr w:rsidR="003A5AB7" w:rsidTr="006E539A">
        <w:trPr>
          <w:trHeight w:hRule="exact" w:val="454"/>
          <w:jc w:val="center"/>
        </w:trPr>
        <w:tc>
          <w:tcPr>
            <w:tcW w:w="2308"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 xml:space="preserve">0.23  ± 0.025 </w:t>
            </w:r>
          </w:p>
        </w:tc>
        <w:tc>
          <w:tcPr>
            <w:tcW w:w="3919"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0.85</w:t>
            </w:r>
          </w:p>
        </w:tc>
      </w:tr>
      <w:tr w:rsidR="003A5AB7" w:rsidTr="006E539A">
        <w:trPr>
          <w:trHeight w:hRule="exact" w:val="454"/>
          <w:jc w:val="center"/>
        </w:trPr>
        <w:tc>
          <w:tcPr>
            <w:tcW w:w="2308"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0.27  ± 0.025</w:t>
            </w:r>
          </w:p>
        </w:tc>
        <w:tc>
          <w:tcPr>
            <w:tcW w:w="3919"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0.90</w:t>
            </w:r>
          </w:p>
        </w:tc>
      </w:tr>
      <w:tr w:rsidR="003A5AB7" w:rsidTr="006E539A">
        <w:trPr>
          <w:trHeight w:hRule="exact" w:val="454"/>
          <w:jc w:val="center"/>
        </w:trPr>
        <w:tc>
          <w:tcPr>
            <w:tcW w:w="2308"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0.27  ± 0.025</w:t>
            </w:r>
          </w:p>
        </w:tc>
        <w:tc>
          <w:tcPr>
            <w:tcW w:w="3919"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0.95</w:t>
            </w:r>
          </w:p>
        </w:tc>
      </w:tr>
      <w:tr w:rsidR="003A5AB7" w:rsidTr="006E539A">
        <w:trPr>
          <w:trHeight w:hRule="exact" w:val="454"/>
          <w:jc w:val="center"/>
        </w:trPr>
        <w:tc>
          <w:tcPr>
            <w:tcW w:w="2308"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0.30  ± 0.025</w:t>
            </w:r>
          </w:p>
        </w:tc>
        <w:tc>
          <w:tcPr>
            <w:tcW w:w="3919"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1.05</w:t>
            </w:r>
          </w:p>
        </w:tc>
      </w:tr>
      <w:tr w:rsidR="003A5AB7" w:rsidTr="006E539A">
        <w:trPr>
          <w:trHeight w:hRule="exact" w:val="454"/>
          <w:jc w:val="center"/>
        </w:trPr>
        <w:tc>
          <w:tcPr>
            <w:tcW w:w="2308"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0.30  ± 0.025</w:t>
            </w:r>
          </w:p>
        </w:tc>
        <w:tc>
          <w:tcPr>
            <w:tcW w:w="3919"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1.10</w:t>
            </w:r>
          </w:p>
        </w:tc>
      </w:tr>
      <w:tr w:rsidR="003A5AB7" w:rsidTr="006E539A">
        <w:trPr>
          <w:trHeight w:hRule="exact" w:val="454"/>
          <w:jc w:val="center"/>
        </w:trPr>
        <w:tc>
          <w:tcPr>
            <w:tcW w:w="2308"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0.30  ± 0.025</w:t>
            </w:r>
          </w:p>
        </w:tc>
        <w:tc>
          <w:tcPr>
            <w:tcW w:w="3919" w:type="dxa"/>
            <w:vAlign w:val="center"/>
          </w:tcPr>
          <w:p w:rsidR="003A5AB7" w:rsidRDefault="003A5AB7" w:rsidP="006E539A">
            <w:pPr>
              <w:spacing w:line="360" w:lineRule="auto"/>
              <w:jc w:val="center"/>
              <w:rPr>
                <w:rFonts w:ascii="宋体" w:hAnsi="宋体" w:hint="eastAsia"/>
                <w:szCs w:val="21"/>
              </w:rPr>
            </w:pPr>
            <w:r>
              <w:rPr>
                <w:rFonts w:ascii="宋体" w:hAnsi="宋体" w:hint="eastAsia"/>
                <w:szCs w:val="21"/>
              </w:rPr>
              <w:t>1.15</w:t>
            </w:r>
          </w:p>
        </w:tc>
      </w:tr>
    </w:tbl>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表面质量</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硅钢带（片）表面应光滑、清洁、无锈蚀，不允许有孔洞、重皮、拆印、分层、气泡等缺陷。分散的擦伤、划伤、气泡、沙眼、裂缝、结疤、凹坑、凸包等缺陷。表面的绝缘涂层应牢固粘附，颜色均匀，以使它们在剪操作中不脱落。</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尺寸</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每卷硅钢带（片）材尺寸应符合以下要求:</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 xml:space="preserve">宽度+公差：≤1000 + (-0～+1.5)mm； </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内径：500mm；</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外径：≤9600mm；</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重量：≤5吨。</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不平度（波浪因数）</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不平度≤1.5%。</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边缘毛刺</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边缘毛刺高度不超过0.025mm。</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包装</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每卷硅钢带（片），用不小于0.5mm厚铁皮包裹，捆扎良好。有防潮、防污防机械损伤措施。</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标识</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lastRenderedPageBreak/>
        <w:t>每卷硅钢带包装外层应有</w:t>
      </w:r>
      <w:r>
        <w:rPr>
          <w:rFonts w:hAnsi="宋体" w:hint="eastAsia"/>
          <w:sz w:val="24"/>
        </w:rPr>
        <w:t>生产厂商、品牌商标、产品名称、型号规格、生产批号、每卷净重(kg)、生产日期等</w:t>
      </w:r>
      <w:r>
        <w:rPr>
          <w:rFonts w:hAnsi="宋体" w:hint="eastAsia"/>
          <w:sz w:val="24"/>
          <w:szCs w:val="24"/>
        </w:rPr>
        <w:t>标识</w:t>
      </w:r>
      <w:r>
        <w:rPr>
          <w:rFonts w:hAnsi="宋体" w:hint="eastAsia"/>
          <w:sz w:val="24"/>
        </w:rPr>
        <w:t>。</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运输</w:t>
      </w:r>
    </w:p>
    <w:p w:rsidR="003A5AB7" w:rsidRDefault="003A5AB7" w:rsidP="003A5AB7">
      <w:pPr>
        <w:pStyle w:val="a6"/>
        <w:spacing w:line="360" w:lineRule="auto"/>
        <w:ind w:left="420" w:firstLineChars="0" w:firstLine="0"/>
        <w:rPr>
          <w:rFonts w:hAnsi="宋体" w:hint="eastAsia"/>
          <w:sz w:val="24"/>
          <w:szCs w:val="24"/>
        </w:rPr>
      </w:pPr>
      <w:r>
        <w:rPr>
          <w:rFonts w:hAnsi="宋体" w:hint="eastAsia"/>
          <w:sz w:val="24"/>
          <w:szCs w:val="24"/>
        </w:rPr>
        <w:t>卷料叠放不允许超过2层，有防雨淋、有防止运输过程受挤压变形或碰伤等措施。</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 xml:space="preserve">贮存 </w:t>
      </w:r>
    </w:p>
    <w:p w:rsidR="003A5AB7" w:rsidRDefault="003A5AB7" w:rsidP="003A5AB7">
      <w:pPr>
        <w:pStyle w:val="a6"/>
        <w:spacing w:line="360" w:lineRule="auto"/>
        <w:ind w:firstLine="480"/>
        <w:rPr>
          <w:rFonts w:hAnsi="宋体"/>
          <w:sz w:val="24"/>
          <w:szCs w:val="24"/>
        </w:rPr>
      </w:pPr>
      <w:r>
        <w:rPr>
          <w:rFonts w:hAnsi="宋体" w:hint="eastAsia"/>
          <w:sz w:val="24"/>
          <w:szCs w:val="24"/>
        </w:rPr>
        <w:t>应放在干燥无尘的空间，叠放不超过2层，产品入库</w:t>
      </w:r>
      <w:r>
        <w:rPr>
          <w:rFonts w:hAnsi="宋体" w:hint="eastAsia"/>
          <w:sz w:val="24"/>
        </w:rPr>
        <w:t>贮存期限2年</w:t>
      </w:r>
      <w:r>
        <w:rPr>
          <w:rFonts w:hAnsi="宋体" w:hint="eastAsia"/>
          <w:sz w:val="24"/>
          <w:szCs w:val="24"/>
        </w:rPr>
        <w:t>。</w:t>
      </w:r>
    </w:p>
    <w:p w:rsidR="003A5AB7" w:rsidRDefault="003A5AB7" w:rsidP="003A5AB7">
      <w:pPr>
        <w:numPr>
          <w:ilvl w:val="0"/>
          <w:numId w:val="1"/>
        </w:numPr>
        <w:spacing w:line="360" w:lineRule="auto"/>
        <w:rPr>
          <w:rFonts w:ascii="宋体" w:hAnsi="宋体" w:hint="eastAsia"/>
          <w:sz w:val="24"/>
        </w:rPr>
      </w:pPr>
      <w:r>
        <w:rPr>
          <w:rFonts w:ascii="宋体" w:hAnsi="宋体" w:hint="eastAsia"/>
          <w:sz w:val="24"/>
        </w:rPr>
        <w:t>接货验收</w:t>
      </w:r>
    </w:p>
    <w:p w:rsidR="003A5AB7" w:rsidRDefault="003A5AB7" w:rsidP="003A5AB7">
      <w:pPr>
        <w:pStyle w:val="a6"/>
        <w:spacing w:line="360" w:lineRule="auto"/>
        <w:ind w:firstLine="480"/>
        <w:rPr>
          <w:rFonts w:hAnsi="宋体" w:hint="eastAsia"/>
          <w:sz w:val="24"/>
          <w:szCs w:val="24"/>
        </w:rPr>
      </w:pPr>
      <w:r>
        <w:rPr>
          <w:rFonts w:hAnsi="宋体" w:hint="eastAsia"/>
          <w:sz w:val="24"/>
          <w:szCs w:val="24"/>
        </w:rPr>
        <w:t>产品交货时，按照《原材料检验规范》</w:t>
      </w:r>
      <w:r>
        <w:rPr>
          <w:rFonts w:hAnsi="宋体"/>
          <w:sz w:val="24"/>
          <w:szCs w:val="24"/>
        </w:rPr>
        <w:t xml:space="preserve">Q/WTB </w:t>
      </w:r>
      <w:r>
        <w:rPr>
          <w:rFonts w:hAnsi="宋体" w:hint="eastAsia"/>
          <w:sz w:val="24"/>
          <w:szCs w:val="24"/>
        </w:rPr>
        <w:t>15.7</w:t>
      </w:r>
      <w:r>
        <w:rPr>
          <w:rFonts w:hAnsi="宋体"/>
          <w:sz w:val="24"/>
          <w:szCs w:val="24"/>
        </w:rPr>
        <w:t>—20</w:t>
      </w:r>
      <w:r>
        <w:rPr>
          <w:rFonts w:hAnsi="宋体" w:hint="eastAsia"/>
          <w:sz w:val="24"/>
          <w:szCs w:val="24"/>
        </w:rPr>
        <w:t>11规定要求验收。除了抽样验收外还应查阅供应商的产品检验报告。</w:t>
      </w:r>
    </w:p>
    <w:p w:rsidR="003A5AB7" w:rsidRDefault="003A5AB7" w:rsidP="003A5AB7">
      <w:pPr>
        <w:pStyle w:val="a6"/>
        <w:spacing w:line="360" w:lineRule="auto"/>
        <w:ind w:firstLineChars="182" w:firstLine="437"/>
        <w:rPr>
          <w:rFonts w:hAnsi="宋体"/>
          <w:sz w:val="24"/>
          <w:szCs w:val="24"/>
        </w:rPr>
      </w:pPr>
      <w:r>
        <w:rPr>
          <w:rFonts w:hAnsi="宋体" w:hint="eastAsia"/>
          <w:sz w:val="24"/>
          <w:szCs w:val="24"/>
        </w:rPr>
        <w:t>交货时，供应商应提供以下书面材料</w:t>
      </w:r>
      <w:r>
        <w:rPr>
          <w:rFonts w:hAnsi="宋体"/>
          <w:sz w:val="24"/>
          <w:szCs w:val="24"/>
        </w:rPr>
        <w:t>:</w:t>
      </w:r>
    </w:p>
    <w:p w:rsidR="003A5AB7" w:rsidRDefault="003A5AB7" w:rsidP="003A5AB7">
      <w:pPr>
        <w:numPr>
          <w:ilvl w:val="0"/>
          <w:numId w:val="3"/>
        </w:numPr>
        <w:spacing w:line="360" w:lineRule="auto"/>
        <w:ind w:firstLine="66"/>
        <w:rPr>
          <w:rFonts w:ascii="宋体" w:hAnsi="宋体" w:hint="eastAsia"/>
          <w:sz w:val="24"/>
        </w:rPr>
      </w:pPr>
      <w:r>
        <w:rPr>
          <w:rFonts w:ascii="宋体" w:hAnsi="宋体" w:hint="eastAsia"/>
          <w:sz w:val="24"/>
        </w:rPr>
        <w:t>生产厂名称、地址、联系电话；</w:t>
      </w:r>
    </w:p>
    <w:p w:rsidR="003A5AB7" w:rsidRDefault="003A5AB7" w:rsidP="003A5AB7">
      <w:pPr>
        <w:numPr>
          <w:ilvl w:val="0"/>
          <w:numId w:val="3"/>
        </w:numPr>
        <w:spacing w:line="360" w:lineRule="auto"/>
        <w:ind w:leftChars="205" w:left="850" w:hangingChars="175" w:hanging="420"/>
        <w:rPr>
          <w:rFonts w:ascii="宋体" w:hAnsi="宋体" w:hint="eastAsia"/>
          <w:sz w:val="24"/>
        </w:rPr>
      </w:pPr>
      <w:r>
        <w:rPr>
          <w:rFonts w:hAnsi="宋体" w:hint="eastAsia"/>
          <w:sz w:val="24"/>
        </w:rPr>
        <w:t>产品名称、型号规格</w:t>
      </w:r>
      <w:r>
        <w:rPr>
          <w:rFonts w:hAnsi="宋体" w:hint="eastAsia"/>
          <w:sz w:val="24"/>
        </w:rPr>
        <w:t>;</w:t>
      </w:r>
    </w:p>
    <w:p w:rsidR="003A5AB7" w:rsidRDefault="003A5AB7" w:rsidP="003A5AB7">
      <w:pPr>
        <w:numPr>
          <w:ilvl w:val="0"/>
          <w:numId w:val="3"/>
        </w:numPr>
        <w:spacing w:line="360" w:lineRule="auto"/>
        <w:ind w:leftChars="205" w:left="850" w:hangingChars="175" w:hanging="420"/>
        <w:rPr>
          <w:rFonts w:ascii="宋体" w:hAnsi="宋体" w:hint="eastAsia"/>
          <w:sz w:val="24"/>
        </w:rPr>
      </w:pPr>
      <w:r>
        <w:rPr>
          <w:rFonts w:ascii="宋体" w:hAnsi="宋体" w:hint="eastAsia"/>
          <w:sz w:val="24"/>
        </w:rPr>
        <w:t>生产批号、生产日期；</w:t>
      </w:r>
    </w:p>
    <w:p w:rsidR="003A5AB7" w:rsidRDefault="003A5AB7" w:rsidP="003A5AB7">
      <w:pPr>
        <w:numPr>
          <w:ilvl w:val="0"/>
          <w:numId w:val="3"/>
        </w:numPr>
        <w:spacing w:line="360" w:lineRule="auto"/>
        <w:ind w:leftChars="205" w:left="850" w:hangingChars="175" w:hanging="420"/>
        <w:rPr>
          <w:rFonts w:ascii="宋体" w:hAnsi="宋体" w:hint="eastAsia"/>
          <w:sz w:val="24"/>
        </w:rPr>
      </w:pPr>
      <w:r>
        <w:rPr>
          <w:rFonts w:ascii="宋体" w:hAnsi="宋体" w:hint="eastAsia"/>
          <w:sz w:val="24"/>
        </w:rPr>
        <w:t>产品执行标准；</w:t>
      </w:r>
    </w:p>
    <w:p w:rsidR="003A5AB7" w:rsidRDefault="003A5AB7" w:rsidP="003A5AB7">
      <w:pPr>
        <w:numPr>
          <w:ilvl w:val="0"/>
          <w:numId w:val="3"/>
        </w:numPr>
        <w:spacing w:line="360" w:lineRule="auto"/>
        <w:ind w:leftChars="205" w:left="850" w:hangingChars="175" w:hanging="420"/>
        <w:rPr>
          <w:rFonts w:ascii="宋体" w:hAnsi="宋体" w:hint="eastAsia"/>
          <w:sz w:val="24"/>
        </w:rPr>
      </w:pPr>
      <w:r>
        <w:rPr>
          <w:rFonts w:ascii="宋体" w:hAnsi="宋体" w:hint="eastAsia"/>
          <w:sz w:val="24"/>
        </w:rPr>
        <w:t>产品检测报告或检验合格证；</w:t>
      </w:r>
    </w:p>
    <w:p w:rsidR="003A5AB7" w:rsidRDefault="003A5AB7" w:rsidP="003A5AB7">
      <w:pPr>
        <w:numPr>
          <w:ilvl w:val="0"/>
          <w:numId w:val="3"/>
        </w:numPr>
        <w:spacing w:line="360" w:lineRule="auto"/>
        <w:ind w:leftChars="205" w:left="850" w:hangingChars="175" w:hanging="420"/>
        <w:rPr>
          <w:rFonts w:ascii="宋体" w:hAnsi="宋体" w:hint="eastAsia"/>
          <w:sz w:val="24"/>
        </w:rPr>
      </w:pPr>
      <w:r>
        <w:rPr>
          <w:rFonts w:ascii="宋体" w:hAnsi="宋体" w:hint="eastAsia"/>
          <w:sz w:val="24"/>
        </w:rPr>
        <w:t>如果是首次供应商,还应提供第三方检测报告；</w:t>
      </w:r>
    </w:p>
    <w:p w:rsidR="003A5AB7" w:rsidRDefault="003A5AB7" w:rsidP="003A5AB7">
      <w:pPr>
        <w:numPr>
          <w:ilvl w:val="0"/>
          <w:numId w:val="3"/>
        </w:numPr>
        <w:spacing w:line="360" w:lineRule="auto"/>
        <w:ind w:leftChars="205" w:left="850" w:hangingChars="175" w:hanging="420"/>
        <w:rPr>
          <w:rFonts w:ascii="宋体" w:hAnsi="宋体" w:hint="eastAsia"/>
          <w:sz w:val="24"/>
        </w:rPr>
      </w:pPr>
      <w:r>
        <w:rPr>
          <w:rFonts w:ascii="宋体" w:hAnsi="宋体" w:hint="eastAsia"/>
          <w:sz w:val="24"/>
        </w:rPr>
        <w:t>产品使用说明书。</w:t>
      </w:r>
    </w:p>
    <w:p w:rsidR="003A5AB7" w:rsidRDefault="003A5AB7" w:rsidP="003A5AB7">
      <w:pPr>
        <w:numPr>
          <w:ilvl w:val="0"/>
          <w:numId w:val="3"/>
        </w:numPr>
        <w:spacing w:line="360" w:lineRule="auto"/>
        <w:ind w:left="0" w:firstLineChars="177" w:firstLine="425"/>
        <w:rPr>
          <w:rFonts w:ascii="宋体" w:hAnsi="宋体" w:hint="eastAsia"/>
          <w:sz w:val="24"/>
        </w:rPr>
      </w:pPr>
      <w:r>
        <w:rPr>
          <w:rFonts w:hAnsi="宋体" w:hint="eastAsia"/>
          <w:sz w:val="24"/>
        </w:rPr>
        <w:t>每卷硅钢带</w:t>
      </w:r>
      <w:r>
        <w:rPr>
          <w:rFonts w:ascii="宋体" w:hAnsi="宋体" w:hint="eastAsia"/>
          <w:sz w:val="24"/>
        </w:rPr>
        <w:t>净重、</w:t>
      </w:r>
      <w:r>
        <w:rPr>
          <w:rFonts w:hAnsi="宋体" w:hint="eastAsia"/>
          <w:sz w:val="24"/>
        </w:rPr>
        <w:t>卷</w:t>
      </w:r>
      <w:r>
        <w:rPr>
          <w:rFonts w:ascii="宋体" w:hAnsi="宋体" w:hint="eastAsia"/>
          <w:sz w:val="24"/>
        </w:rPr>
        <w:t>数、总重量。</w:t>
      </w:r>
    </w:p>
    <w:p w:rsidR="003A5AB7" w:rsidRDefault="003A5AB7" w:rsidP="003A5AB7">
      <w:pPr>
        <w:spacing w:line="360" w:lineRule="auto"/>
        <w:rPr>
          <w:rFonts w:hint="eastAsia"/>
          <w:sz w:val="24"/>
        </w:rPr>
      </w:pPr>
      <w:r>
        <w:rPr>
          <w:rFonts w:hint="eastAsia"/>
          <w:sz w:val="24"/>
        </w:rPr>
        <w:t xml:space="preserve"> </w:t>
      </w:r>
    </w:p>
    <w:p w:rsidR="003A5AB7" w:rsidRDefault="003A5AB7" w:rsidP="003A5AB7">
      <w:pPr>
        <w:pStyle w:val="a6"/>
        <w:spacing w:line="360" w:lineRule="auto"/>
        <w:ind w:firstLine="480"/>
        <w:rPr>
          <w:rFonts w:hint="eastAsia"/>
          <w:sz w:val="24"/>
          <w:szCs w:val="24"/>
        </w:rPr>
      </w:pPr>
      <w:r>
        <w:rPr>
          <w:rFonts w:hAnsi="宋体" w:hint="eastAsia"/>
          <w:sz w:val="24"/>
          <w:szCs w:val="24"/>
        </w:rPr>
        <w:t>附加说明：本规范由海南威特电气集团有限公司提出并起草。</w:t>
      </w:r>
    </w:p>
    <w:p w:rsidR="007D42A1" w:rsidRPr="003A5AB7" w:rsidRDefault="007D42A1"/>
    <w:sectPr w:rsidR="007D42A1" w:rsidRPr="003A5A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2A1" w:rsidRDefault="007D42A1" w:rsidP="003A5AB7">
      <w:r>
        <w:separator/>
      </w:r>
    </w:p>
  </w:endnote>
  <w:endnote w:type="continuationSeparator" w:id="1">
    <w:p w:rsidR="007D42A1" w:rsidRDefault="007D42A1" w:rsidP="003A5AB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2A1" w:rsidRDefault="007D42A1" w:rsidP="003A5AB7">
      <w:r>
        <w:separator/>
      </w:r>
    </w:p>
  </w:footnote>
  <w:footnote w:type="continuationSeparator" w:id="1">
    <w:p w:rsidR="007D42A1" w:rsidRDefault="007D42A1" w:rsidP="003A5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6F2"/>
    <w:multiLevelType w:val="multilevel"/>
    <w:tmpl w:val="0E1976F2"/>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1">
    <w:nsid w:val="20F3548E"/>
    <w:multiLevelType w:val="multilevel"/>
    <w:tmpl w:val="20F3548E"/>
    <w:lvl w:ilvl="0">
      <w:start w:val="1"/>
      <w:numFmt w:val="decimal"/>
      <w:suff w:val="space"/>
      <w:lvlText w:val="%1）"/>
      <w:lvlJc w:val="left"/>
      <w:pPr>
        <w:ind w:left="420" w:hanging="420"/>
      </w:pPr>
      <w:rPr>
        <w:rFonts w:ascii="宋体" w:eastAsia="宋体" w:hAnsi="宋体"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D672504"/>
    <w:multiLevelType w:val="multilevel"/>
    <w:tmpl w:val="7D672504"/>
    <w:lvl w:ilvl="0">
      <w:start w:val="1"/>
      <w:numFmt w:val="decimal"/>
      <w:suff w:val="spac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AB7"/>
    <w:rsid w:val="003A5AB7"/>
    <w:rsid w:val="007D4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AB7"/>
    <w:rPr>
      <w:sz w:val="18"/>
      <w:szCs w:val="18"/>
    </w:rPr>
  </w:style>
  <w:style w:type="paragraph" w:styleId="a4">
    <w:name w:val="footer"/>
    <w:basedOn w:val="a"/>
    <w:link w:val="Char0"/>
    <w:uiPriority w:val="99"/>
    <w:semiHidden/>
    <w:unhideWhenUsed/>
    <w:rsid w:val="003A5A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5AB7"/>
    <w:rPr>
      <w:sz w:val="18"/>
      <w:szCs w:val="18"/>
    </w:rPr>
  </w:style>
  <w:style w:type="character" w:customStyle="1" w:styleId="Char1">
    <w:name w:val="标题 Char"/>
    <w:basedOn w:val="a0"/>
    <w:link w:val="a5"/>
    <w:rsid w:val="003A5AB7"/>
    <w:rPr>
      <w:rFonts w:ascii="Cambria" w:hAnsi="Cambria" w:cs="Times New Roman"/>
      <w:b/>
      <w:bCs/>
      <w:sz w:val="32"/>
      <w:szCs w:val="32"/>
    </w:rPr>
  </w:style>
  <w:style w:type="paragraph" w:customStyle="1" w:styleId="a6">
    <w:name w:val="段"/>
    <w:rsid w:val="003A5AB7"/>
    <w:pPr>
      <w:autoSpaceDE w:val="0"/>
      <w:autoSpaceDN w:val="0"/>
      <w:ind w:firstLineChars="200" w:firstLine="200"/>
      <w:jc w:val="both"/>
    </w:pPr>
    <w:rPr>
      <w:rFonts w:ascii="宋体" w:eastAsia="宋体" w:hAnsi="Times New Roman" w:cs="Times New Roman"/>
      <w:kern w:val="0"/>
      <w:szCs w:val="20"/>
    </w:rPr>
  </w:style>
  <w:style w:type="paragraph" w:styleId="a5">
    <w:name w:val="Title"/>
    <w:basedOn w:val="a"/>
    <w:next w:val="a"/>
    <w:link w:val="Char1"/>
    <w:qFormat/>
    <w:rsid w:val="003A5AB7"/>
    <w:pPr>
      <w:spacing w:before="240" w:after="60"/>
      <w:jc w:val="center"/>
      <w:outlineLvl w:val="0"/>
    </w:pPr>
    <w:rPr>
      <w:rFonts w:ascii="Cambria" w:eastAsiaTheme="minorEastAsia" w:hAnsi="Cambria"/>
      <w:b/>
      <w:bCs/>
      <w:sz w:val="32"/>
      <w:szCs w:val="32"/>
    </w:rPr>
  </w:style>
  <w:style w:type="character" w:customStyle="1" w:styleId="Char10">
    <w:name w:val="标题 Char1"/>
    <w:basedOn w:val="a0"/>
    <w:link w:val="a5"/>
    <w:uiPriority w:val="10"/>
    <w:rsid w:val="003A5AB7"/>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1295</Characters>
  <Application>Microsoft Office Word</Application>
  <DocSecurity>0</DocSecurity>
  <Lines>10</Lines>
  <Paragraphs>3</Paragraphs>
  <ScaleCrop>false</ScaleCrop>
  <Company>Www.SangSan.Cn</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2</cp:revision>
  <dcterms:created xsi:type="dcterms:W3CDTF">2017-04-10T11:56:00Z</dcterms:created>
  <dcterms:modified xsi:type="dcterms:W3CDTF">2017-04-10T11:56:00Z</dcterms:modified>
</cp:coreProperties>
</file>