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42" w:rsidRDefault="00FE1B42" w:rsidP="00FE1B42">
      <w:pPr>
        <w:pStyle w:val="a5"/>
        <w:rPr>
          <w:rFonts w:ascii="宋体" w:hAnsi="宋体" w:hint="eastAsia"/>
          <w:sz w:val="30"/>
          <w:szCs w:val="30"/>
        </w:rPr>
      </w:pPr>
      <w:bookmarkStart w:id="0" w:name="_Toc410917416"/>
      <w:r>
        <w:rPr>
          <w:rFonts w:ascii="宋体" w:hAnsi="宋体" w:hint="eastAsia"/>
          <w:sz w:val="30"/>
          <w:szCs w:val="30"/>
        </w:rPr>
        <w:t>变压器矿物绝缘油技术规范</w:t>
      </w:r>
      <w:bookmarkEnd w:id="0"/>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总则</w:t>
      </w:r>
    </w:p>
    <w:p w:rsidR="00FE1B42" w:rsidRDefault="00FE1B42" w:rsidP="00FE1B42">
      <w:pPr>
        <w:numPr>
          <w:ilvl w:val="0"/>
          <w:numId w:val="2"/>
        </w:numPr>
        <w:spacing w:line="360" w:lineRule="auto"/>
        <w:ind w:firstLine="6"/>
        <w:rPr>
          <w:rFonts w:ascii="宋体" w:hAnsi="宋体"/>
          <w:sz w:val="24"/>
        </w:rPr>
      </w:pPr>
      <w:r>
        <w:rPr>
          <w:rFonts w:ascii="宋体" w:hAnsi="宋体" w:hint="eastAsia"/>
          <w:sz w:val="24"/>
        </w:rPr>
        <w:t xml:space="preserve">本规范提出了采购变压器矿物绝缘油的功能、性能等方面的技术要求。 </w:t>
      </w:r>
    </w:p>
    <w:p w:rsidR="00FE1B42" w:rsidRDefault="00FE1B42" w:rsidP="00FE1B42">
      <w:pPr>
        <w:numPr>
          <w:ilvl w:val="0"/>
          <w:numId w:val="2"/>
        </w:numPr>
        <w:spacing w:line="360" w:lineRule="auto"/>
        <w:ind w:left="0" w:firstLine="426"/>
        <w:rPr>
          <w:rFonts w:ascii="宋体" w:hAnsi="宋体" w:hint="eastAsia"/>
          <w:sz w:val="24"/>
        </w:rPr>
      </w:pPr>
      <w:r>
        <w:rPr>
          <w:rFonts w:ascii="宋体" w:hAnsi="宋体" w:hint="eastAsia"/>
          <w:sz w:val="24"/>
        </w:rPr>
        <w:t>供应商应充分理解本规范，供应的产品应符合本规范规定的技术要求。</w:t>
      </w:r>
    </w:p>
    <w:p w:rsidR="00FE1B42" w:rsidRDefault="00FE1B42" w:rsidP="00FE1B42">
      <w:pPr>
        <w:numPr>
          <w:ilvl w:val="0"/>
          <w:numId w:val="2"/>
        </w:numPr>
        <w:spacing w:line="360" w:lineRule="auto"/>
        <w:ind w:left="0" w:firstLine="426"/>
        <w:rPr>
          <w:rFonts w:ascii="宋体" w:hAnsi="宋体" w:hint="eastAsia"/>
          <w:sz w:val="24"/>
        </w:rPr>
      </w:pPr>
      <w:r>
        <w:rPr>
          <w:rFonts w:ascii="宋体" w:hAnsi="宋体" w:hint="eastAsia"/>
          <w:sz w:val="24"/>
        </w:rPr>
        <w:t>本规范提出的是最低限度的技术要求。凡本规范中未规定，但在相关设备的行业标准、国家标准或</w:t>
      </w:r>
      <w:r>
        <w:rPr>
          <w:rFonts w:ascii="宋体" w:hAnsi="宋体"/>
          <w:sz w:val="24"/>
        </w:rPr>
        <w:t>IEC</w:t>
      </w:r>
      <w:r>
        <w:rPr>
          <w:rFonts w:ascii="宋体" w:hAnsi="宋体" w:hint="eastAsia"/>
          <w:sz w:val="24"/>
        </w:rPr>
        <w:t>标准中有规定的规范条文，投标方应按相应标准的条文进行设备设计、制造、试验。对国家有关安全、环保等强制性标准，必须满足其要求。</w:t>
      </w:r>
    </w:p>
    <w:p w:rsidR="00FE1B42" w:rsidRDefault="00FE1B42" w:rsidP="00FE1B42">
      <w:pPr>
        <w:numPr>
          <w:ilvl w:val="0"/>
          <w:numId w:val="2"/>
        </w:numPr>
        <w:spacing w:line="360" w:lineRule="auto"/>
        <w:ind w:left="0" w:firstLine="426"/>
        <w:rPr>
          <w:rFonts w:ascii="宋体" w:hAnsi="宋体"/>
          <w:sz w:val="24"/>
        </w:rPr>
      </w:pPr>
      <w:r>
        <w:rPr>
          <w:rFonts w:ascii="宋体" w:hAnsi="宋体" w:hint="eastAsia"/>
          <w:sz w:val="24"/>
        </w:rPr>
        <w:t>本规范所引用的标准，其内容适用于本规范，如遇到与供应商所执行的标准不一致时，</w:t>
      </w:r>
      <w:r>
        <w:rPr>
          <w:rFonts w:ascii="宋体" w:hAnsi="宋体"/>
          <w:sz w:val="24"/>
        </w:rPr>
        <w:t xml:space="preserve"> </w:t>
      </w:r>
      <w:r>
        <w:rPr>
          <w:rFonts w:ascii="宋体" w:hAnsi="宋体" w:hint="eastAsia"/>
          <w:sz w:val="24"/>
        </w:rPr>
        <w:t>按较高标准执行。</w:t>
      </w:r>
    </w:p>
    <w:p w:rsidR="00FE1B42" w:rsidRDefault="00FE1B42" w:rsidP="00FE1B42">
      <w:pPr>
        <w:numPr>
          <w:ilvl w:val="0"/>
          <w:numId w:val="2"/>
        </w:numPr>
        <w:spacing w:line="360" w:lineRule="auto"/>
        <w:ind w:left="0" w:firstLine="426"/>
        <w:rPr>
          <w:rFonts w:ascii="宋体" w:hAnsi="宋体"/>
          <w:sz w:val="24"/>
        </w:rPr>
      </w:pPr>
      <w:r>
        <w:rPr>
          <w:rFonts w:ascii="宋体" w:hAnsi="宋体" w:hint="eastAsia"/>
          <w:sz w:val="24"/>
        </w:rPr>
        <w:t>如果供应商没有以书面形式对本规范的条文提出异议，</w:t>
      </w:r>
      <w:r>
        <w:rPr>
          <w:rFonts w:ascii="宋体" w:hAnsi="宋体"/>
          <w:sz w:val="24"/>
        </w:rPr>
        <w:t xml:space="preserve"> </w:t>
      </w:r>
      <w:r>
        <w:rPr>
          <w:rFonts w:ascii="宋体" w:hAnsi="宋体" w:hint="eastAsia"/>
          <w:sz w:val="24"/>
        </w:rPr>
        <w:t>则意味着供应商提供的产品完全符合本规范的要求。如有异议，</w:t>
      </w:r>
      <w:r>
        <w:rPr>
          <w:rFonts w:ascii="宋体" w:hAnsi="宋体"/>
          <w:sz w:val="24"/>
        </w:rPr>
        <w:t xml:space="preserve"> </w:t>
      </w:r>
      <w:r>
        <w:rPr>
          <w:rFonts w:ascii="宋体" w:hAnsi="宋体" w:hint="eastAsia"/>
          <w:sz w:val="24"/>
        </w:rPr>
        <w:t>不管是多么微小，</w:t>
      </w:r>
      <w:r>
        <w:rPr>
          <w:rFonts w:ascii="宋体" w:hAnsi="宋体"/>
          <w:sz w:val="24"/>
        </w:rPr>
        <w:t xml:space="preserve"> </w:t>
      </w:r>
      <w:r>
        <w:rPr>
          <w:rFonts w:ascii="宋体" w:hAnsi="宋体" w:hint="eastAsia"/>
          <w:sz w:val="24"/>
        </w:rPr>
        <w:t>都应以书面文件反馈说明原因。</w:t>
      </w:r>
    </w:p>
    <w:p w:rsidR="00FE1B42" w:rsidRDefault="00FE1B42" w:rsidP="00FE1B42">
      <w:pPr>
        <w:numPr>
          <w:ilvl w:val="0"/>
          <w:numId w:val="2"/>
        </w:numPr>
        <w:spacing w:line="360" w:lineRule="auto"/>
        <w:ind w:left="0" w:firstLine="425"/>
        <w:rPr>
          <w:rFonts w:ascii="宋体" w:hAnsi="宋体"/>
          <w:sz w:val="24"/>
        </w:rPr>
      </w:pPr>
      <w:r>
        <w:rPr>
          <w:rFonts w:ascii="宋体" w:hAnsi="宋体" w:hint="eastAsia"/>
          <w:sz w:val="24"/>
        </w:rPr>
        <w:t>供应商应如实反映所供应的产品与本规范所规定的技术差异。如果供应商没有提出技术差异，而在执行合同的过程中，我公司发现供应商提供的产品与本规范的条文存在差异，我公司有权利要求退货。</w:t>
      </w:r>
    </w:p>
    <w:p w:rsidR="00FE1B42" w:rsidRDefault="00FE1B42" w:rsidP="00FE1B42">
      <w:pPr>
        <w:numPr>
          <w:ilvl w:val="0"/>
          <w:numId w:val="2"/>
        </w:numPr>
        <w:spacing w:line="360" w:lineRule="auto"/>
        <w:ind w:left="0" w:firstLine="426"/>
        <w:rPr>
          <w:rFonts w:ascii="宋体" w:hAnsi="宋体"/>
          <w:sz w:val="24"/>
        </w:rPr>
      </w:pPr>
      <w:r>
        <w:rPr>
          <w:rFonts w:ascii="宋体" w:hAnsi="宋体" w:hint="eastAsia"/>
          <w:sz w:val="24"/>
        </w:rPr>
        <w:t>本规范未尽事宜，由我公司与供应商双方协商确定。</w:t>
      </w:r>
    </w:p>
    <w:p w:rsidR="00FE1B42" w:rsidRDefault="00FE1B42" w:rsidP="00FE1B42">
      <w:pPr>
        <w:numPr>
          <w:ilvl w:val="0"/>
          <w:numId w:val="2"/>
        </w:numPr>
        <w:spacing w:line="360" w:lineRule="auto"/>
        <w:ind w:left="0" w:firstLine="426"/>
        <w:rPr>
          <w:rFonts w:ascii="宋体" w:hAnsi="宋体" w:hint="eastAsia"/>
          <w:sz w:val="24"/>
        </w:rPr>
      </w:pPr>
      <w:r>
        <w:rPr>
          <w:rFonts w:ascii="宋体" w:hAnsi="宋体" w:hint="eastAsia"/>
          <w:sz w:val="24"/>
        </w:rPr>
        <w:t>本规范经我公司与供应商双方确认后作为订货合同的技术附件，与合同正文具有同等的法律效力。</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适用范围</w:t>
      </w:r>
    </w:p>
    <w:p w:rsidR="00FE1B42" w:rsidRDefault="00FE1B42" w:rsidP="00FE1B42">
      <w:pPr>
        <w:spacing w:line="400" w:lineRule="atLeast"/>
        <w:ind w:firstLineChars="177" w:firstLine="425"/>
        <w:rPr>
          <w:rFonts w:ascii="宋体" w:hAnsi="宋体" w:hint="eastAsia"/>
          <w:sz w:val="24"/>
        </w:rPr>
      </w:pPr>
      <w:r>
        <w:rPr>
          <w:rFonts w:ascii="宋体" w:hAnsi="宋体" w:hint="eastAsia"/>
          <w:sz w:val="24"/>
        </w:rPr>
        <w:t>本规范适用于海南威特电气集团有限公司变压器生产所需要的变压器矿物绝缘油的采购。</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引用标准</w:t>
      </w:r>
    </w:p>
    <w:p w:rsidR="00FE1B42" w:rsidRDefault="00FE1B42" w:rsidP="00FE1B42">
      <w:pPr>
        <w:pStyle w:val="a7"/>
        <w:spacing w:line="400" w:lineRule="exact"/>
        <w:ind w:left="851" w:firstLineChars="0" w:firstLine="0"/>
        <w:jc w:val="left"/>
        <w:rPr>
          <w:rFonts w:hAnsi="宋体" w:hint="eastAsia"/>
          <w:sz w:val="24"/>
          <w:szCs w:val="24"/>
        </w:rPr>
      </w:pPr>
      <w:r>
        <w:rPr>
          <w:rFonts w:hAnsi="宋体" w:hint="eastAsia"/>
          <w:sz w:val="24"/>
          <w:szCs w:val="24"/>
        </w:rPr>
        <w:t xml:space="preserve">GB 2536-2011 </w:t>
      </w:r>
      <w:r>
        <w:rPr>
          <w:rFonts w:hAnsi="宋体" w:hint="eastAsia"/>
          <w:sz w:val="24"/>
          <w:szCs w:val="21"/>
        </w:rPr>
        <w:t>《电工流体 变压器和开关用的未使用过的矿物绝缘油》。</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材质要求</w:t>
      </w:r>
    </w:p>
    <w:p w:rsidR="00FE1B42" w:rsidRDefault="00FE1B42" w:rsidP="00FE1B42">
      <w:pPr>
        <w:pStyle w:val="a7"/>
        <w:spacing w:line="400" w:lineRule="exact"/>
        <w:ind w:firstLine="480"/>
        <w:rPr>
          <w:rFonts w:hAnsi="宋体" w:hint="eastAsia"/>
          <w:sz w:val="24"/>
          <w:szCs w:val="24"/>
        </w:rPr>
      </w:pPr>
      <w:r>
        <w:rPr>
          <w:rFonts w:hAnsi="宋体" w:hint="eastAsia"/>
          <w:sz w:val="24"/>
          <w:szCs w:val="24"/>
        </w:rPr>
        <w:t>采购的变压器绝缘油以环烷基油或石蜡基油为准，不含乙炔。</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技术性能</w:t>
      </w:r>
    </w:p>
    <w:p w:rsidR="00FE1B42" w:rsidRDefault="00FE1B42" w:rsidP="00FE1B42">
      <w:pPr>
        <w:pStyle w:val="a7"/>
        <w:spacing w:line="400" w:lineRule="exact"/>
        <w:ind w:firstLine="480"/>
        <w:rPr>
          <w:rFonts w:hAnsi="宋体" w:hint="eastAsia"/>
          <w:sz w:val="24"/>
          <w:szCs w:val="24"/>
        </w:rPr>
      </w:pPr>
      <w:r>
        <w:rPr>
          <w:rFonts w:hAnsi="宋体" w:hint="eastAsia"/>
          <w:sz w:val="24"/>
          <w:szCs w:val="24"/>
        </w:rPr>
        <w:t>变压器绝缘油性能要求应符合表1。</w:t>
      </w:r>
    </w:p>
    <w:p w:rsidR="00FE1B42" w:rsidRDefault="00FE1B42" w:rsidP="00FE1B42">
      <w:pPr>
        <w:pStyle w:val="a7"/>
        <w:ind w:firstLineChars="0" w:firstLine="0"/>
        <w:jc w:val="center"/>
        <w:rPr>
          <w:rFonts w:hAnsi="宋体" w:hint="eastAsia"/>
          <w:sz w:val="24"/>
          <w:szCs w:val="24"/>
        </w:rPr>
      </w:pPr>
    </w:p>
    <w:p w:rsidR="00FE1B42" w:rsidRDefault="00FE1B42" w:rsidP="00FE1B42">
      <w:pPr>
        <w:pStyle w:val="a7"/>
        <w:ind w:firstLineChars="0" w:firstLine="0"/>
        <w:jc w:val="center"/>
        <w:rPr>
          <w:rFonts w:hAnsi="宋体" w:hint="eastAsia"/>
          <w:sz w:val="24"/>
          <w:szCs w:val="24"/>
        </w:rPr>
      </w:pPr>
    </w:p>
    <w:p w:rsidR="00FE1B42" w:rsidRDefault="00FE1B42" w:rsidP="00FE1B42">
      <w:pPr>
        <w:pStyle w:val="a7"/>
        <w:ind w:firstLineChars="0" w:firstLine="0"/>
        <w:jc w:val="center"/>
        <w:rPr>
          <w:rFonts w:hAnsi="宋体" w:hint="eastAsia"/>
          <w:sz w:val="24"/>
          <w:szCs w:val="24"/>
        </w:rPr>
      </w:pPr>
    </w:p>
    <w:p w:rsidR="00FE1B42" w:rsidRDefault="00FE1B42" w:rsidP="00FE1B42">
      <w:pPr>
        <w:pStyle w:val="a7"/>
        <w:ind w:firstLineChars="0" w:firstLine="0"/>
        <w:jc w:val="center"/>
        <w:rPr>
          <w:rFonts w:hAnsi="宋体" w:hint="eastAsia"/>
          <w:sz w:val="24"/>
          <w:szCs w:val="24"/>
        </w:rPr>
      </w:pPr>
    </w:p>
    <w:p w:rsidR="00FE1B42" w:rsidRDefault="00FE1B42" w:rsidP="00FE1B42">
      <w:pPr>
        <w:pStyle w:val="a7"/>
        <w:ind w:firstLineChars="0" w:firstLine="0"/>
        <w:jc w:val="center"/>
        <w:rPr>
          <w:rFonts w:hAnsi="宋体" w:hint="eastAsia"/>
          <w:sz w:val="24"/>
          <w:szCs w:val="24"/>
        </w:rPr>
      </w:pPr>
    </w:p>
    <w:p w:rsidR="00FE1B42" w:rsidRDefault="00FE1B42" w:rsidP="00FE1B42">
      <w:pPr>
        <w:pStyle w:val="a7"/>
        <w:ind w:firstLineChars="0" w:firstLine="0"/>
        <w:jc w:val="center"/>
        <w:rPr>
          <w:rFonts w:hAnsi="宋体"/>
          <w:sz w:val="24"/>
          <w:szCs w:val="24"/>
        </w:rPr>
      </w:pPr>
      <w:r>
        <w:rPr>
          <w:rFonts w:hAnsi="宋体" w:hint="eastAsia"/>
          <w:sz w:val="24"/>
          <w:szCs w:val="24"/>
        </w:rPr>
        <w:t>表1 绝缘油性能要求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534"/>
        <w:gridCol w:w="3402"/>
        <w:gridCol w:w="38"/>
        <w:gridCol w:w="670"/>
        <w:gridCol w:w="851"/>
        <w:gridCol w:w="850"/>
        <w:gridCol w:w="851"/>
        <w:gridCol w:w="850"/>
        <w:gridCol w:w="1560"/>
      </w:tblGrid>
      <w:tr w:rsidR="00FE1B42" w:rsidTr="006E539A">
        <w:trPr>
          <w:gridBefore w:val="1"/>
          <w:wBefore w:w="34" w:type="dxa"/>
          <w:trHeight w:val="411"/>
        </w:trPr>
        <w:tc>
          <w:tcPr>
            <w:tcW w:w="3974" w:type="dxa"/>
            <w:gridSpan w:val="3"/>
            <w:vAlign w:val="center"/>
          </w:tcPr>
          <w:p w:rsidR="00FE1B42" w:rsidRDefault="00FE1B42" w:rsidP="006E539A">
            <w:pPr>
              <w:jc w:val="center"/>
              <w:rPr>
                <w:rFonts w:ascii="宋体" w:hAnsi="宋体"/>
                <w:szCs w:val="21"/>
              </w:rPr>
            </w:pPr>
            <w:r>
              <w:rPr>
                <w:rFonts w:ascii="宋体" w:hAnsi="宋体" w:hint="eastAsia"/>
                <w:szCs w:val="21"/>
              </w:rPr>
              <w:t>项目</w:t>
            </w:r>
          </w:p>
        </w:tc>
        <w:tc>
          <w:tcPr>
            <w:tcW w:w="4072" w:type="dxa"/>
            <w:gridSpan w:val="5"/>
            <w:vAlign w:val="center"/>
          </w:tcPr>
          <w:p w:rsidR="00FE1B42" w:rsidRDefault="00FE1B42" w:rsidP="006E539A">
            <w:pPr>
              <w:jc w:val="center"/>
              <w:rPr>
                <w:rFonts w:ascii="宋体" w:hAnsi="宋体"/>
                <w:szCs w:val="21"/>
              </w:rPr>
            </w:pPr>
            <w:r>
              <w:rPr>
                <w:rFonts w:ascii="宋体" w:hAnsi="宋体" w:hint="eastAsia"/>
                <w:szCs w:val="21"/>
              </w:rPr>
              <w:t>质量指标</w:t>
            </w:r>
          </w:p>
        </w:tc>
        <w:tc>
          <w:tcPr>
            <w:tcW w:w="1560" w:type="dxa"/>
            <w:vMerge w:val="restart"/>
            <w:vAlign w:val="center"/>
          </w:tcPr>
          <w:p w:rsidR="00FE1B42" w:rsidRDefault="00FE1B42" w:rsidP="006E539A">
            <w:pPr>
              <w:widowControl/>
              <w:jc w:val="center"/>
              <w:rPr>
                <w:rFonts w:ascii="宋体" w:hAnsi="宋体"/>
                <w:szCs w:val="21"/>
              </w:rPr>
            </w:pPr>
            <w:r>
              <w:rPr>
                <w:rFonts w:ascii="宋体" w:hAnsi="宋体" w:hint="eastAsia"/>
                <w:szCs w:val="21"/>
              </w:rPr>
              <w:t>标准依据</w:t>
            </w:r>
          </w:p>
        </w:tc>
      </w:tr>
      <w:tr w:rsidR="00FE1B42" w:rsidTr="006E539A">
        <w:trPr>
          <w:gridBefore w:val="1"/>
          <w:wBefore w:w="34" w:type="dxa"/>
          <w:trHeight w:val="382"/>
        </w:trPr>
        <w:tc>
          <w:tcPr>
            <w:tcW w:w="3974" w:type="dxa"/>
            <w:gridSpan w:val="3"/>
            <w:vAlign w:val="center"/>
          </w:tcPr>
          <w:p w:rsidR="00FE1B42" w:rsidRDefault="00FE1B42" w:rsidP="006E539A">
            <w:pPr>
              <w:rPr>
                <w:rFonts w:ascii="宋体" w:hAnsi="宋体"/>
                <w:szCs w:val="21"/>
              </w:rPr>
            </w:pPr>
            <w:r>
              <w:rPr>
                <w:rFonts w:ascii="宋体" w:hAnsi="宋体" w:hint="eastAsia"/>
                <w:szCs w:val="21"/>
              </w:rPr>
              <w:t>最低冷态投运温度(LCSET)</w:t>
            </w:r>
          </w:p>
        </w:tc>
        <w:tc>
          <w:tcPr>
            <w:tcW w:w="670" w:type="dxa"/>
          </w:tcPr>
          <w:p w:rsidR="00FE1B42" w:rsidRDefault="00FE1B42" w:rsidP="006E539A">
            <w:pPr>
              <w:widowControl/>
              <w:jc w:val="center"/>
              <w:rPr>
                <w:rFonts w:ascii="宋体" w:hAnsi="宋体"/>
                <w:szCs w:val="21"/>
              </w:rPr>
            </w:pPr>
            <w:r>
              <w:rPr>
                <w:rFonts w:ascii="宋体" w:hAnsi="宋体" w:hint="eastAsia"/>
                <w:szCs w:val="21"/>
              </w:rPr>
              <w:t>0℃</w:t>
            </w:r>
          </w:p>
        </w:tc>
        <w:tc>
          <w:tcPr>
            <w:tcW w:w="851" w:type="dxa"/>
          </w:tcPr>
          <w:p w:rsidR="00FE1B42" w:rsidRDefault="00FE1B42" w:rsidP="006E539A">
            <w:pPr>
              <w:widowControl/>
              <w:jc w:val="center"/>
              <w:rPr>
                <w:rFonts w:ascii="宋体" w:hAnsi="宋体"/>
                <w:szCs w:val="21"/>
              </w:rPr>
            </w:pPr>
            <w:r>
              <w:rPr>
                <w:rFonts w:ascii="宋体" w:hAnsi="宋体" w:hint="eastAsia"/>
                <w:szCs w:val="21"/>
              </w:rPr>
              <w:t>-10℃</w:t>
            </w:r>
          </w:p>
        </w:tc>
        <w:tc>
          <w:tcPr>
            <w:tcW w:w="850" w:type="dxa"/>
          </w:tcPr>
          <w:p w:rsidR="00FE1B42" w:rsidRDefault="00FE1B42" w:rsidP="006E539A">
            <w:pPr>
              <w:widowControl/>
              <w:jc w:val="center"/>
              <w:rPr>
                <w:rFonts w:ascii="宋体" w:hAnsi="宋体"/>
                <w:szCs w:val="21"/>
              </w:rPr>
            </w:pPr>
            <w:r>
              <w:rPr>
                <w:rFonts w:ascii="宋体" w:hAnsi="宋体" w:hint="eastAsia"/>
                <w:szCs w:val="21"/>
              </w:rPr>
              <w:t>-20℃</w:t>
            </w:r>
          </w:p>
        </w:tc>
        <w:tc>
          <w:tcPr>
            <w:tcW w:w="851" w:type="dxa"/>
          </w:tcPr>
          <w:p w:rsidR="00FE1B42" w:rsidRDefault="00FE1B42" w:rsidP="006E539A">
            <w:pPr>
              <w:widowControl/>
              <w:jc w:val="center"/>
              <w:rPr>
                <w:rFonts w:ascii="宋体" w:hAnsi="宋体"/>
                <w:szCs w:val="21"/>
              </w:rPr>
            </w:pPr>
            <w:r>
              <w:rPr>
                <w:rFonts w:ascii="宋体" w:hAnsi="宋体" w:hint="eastAsia"/>
                <w:szCs w:val="21"/>
              </w:rPr>
              <w:t>-30℃</w:t>
            </w:r>
          </w:p>
        </w:tc>
        <w:tc>
          <w:tcPr>
            <w:tcW w:w="850" w:type="dxa"/>
          </w:tcPr>
          <w:p w:rsidR="00FE1B42" w:rsidRDefault="00FE1B42" w:rsidP="006E539A">
            <w:pPr>
              <w:widowControl/>
              <w:jc w:val="center"/>
              <w:rPr>
                <w:rFonts w:ascii="宋体" w:hAnsi="宋体"/>
                <w:szCs w:val="21"/>
              </w:rPr>
            </w:pPr>
            <w:r>
              <w:rPr>
                <w:rFonts w:ascii="宋体" w:hAnsi="宋体" w:hint="eastAsia"/>
                <w:szCs w:val="21"/>
              </w:rPr>
              <w:t>-40℃</w:t>
            </w:r>
          </w:p>
        </w:tc>
        <w:tc>
          <w:tcPr>
            <w:tcW w:w="1560" w:type="dxa"/>
            <w:vMerge/>
          </w:tcPr>
          <w:p w:rsidR="00FE1B42" w:rsidRDefault="00FE1B42" w:rsidP="006E539A">
            <w:pPr>
              <w:widowControl/>
              <w:jc w:val="left"/>
              <w:rPr>
                <w:rFonts w:ascii="宋体" w:hAnsi="宋体"/>
                <w:szCs w:val="21"/>
              </w:rPr>
            </w:pPr>
          </w:p>
        </w:tc>
      </w:tr>
      <w:tr w:rsidR="00FE1B42" w:rsidTr="006E539A">
        <w:trPr>
          <w:gridBefore w:val="1"/>
          <w:wBefore w:w="34" w:type="dxa"/>
          <w:trHeight w:val="601"/>
        </w:trPr>
        <w:tc>
          <w:tcPr>
            <w:tcW w:w="534" w:type="dxa"/>
            <w:vMerge w:val="restart"/>
            <w:textDirection w:val="tbRlV"/>
            <w:vAlign w:val="center"/>
          </w:tcPr>
          <w:p w:rsidR="00FE1B42" w:rsidRDefault="00FE1B42" w:rsidP="006E539A">
            <w:pPr>
              <w:spacing w:afterLines="50"/>
              <w:ind w:left="227" w:right="113"/>
              <w:jc w:val="center"/>
              <w:rPr>
                <w:rFonts w:ascii="宋体" w:hAnsi="宋体"/>
                <w:szCs w:val="21"/>
              </w:rPr>
            </w:pPr>
            <w:r>
              <w:rPr>
                <w:rFonts w:ascii="宋体" w:hAnsi="宋体" w:hint="eastAsia"/>
                <w:szCs w:val="21"/>
              </w:rPr>
              <w:t>功能特性</w:t>
            </w:r>
          </w:p>
        </w:tc>
        <w:tc>
          <w:tcPr>
            <w:tcW w:w="3440" w:type="dxa"/>
            <w:gridSpan w:val="2"/>
            <w:vAlign w:val="center"/>
          </w:tcPr>
          <w:p w:rsidR="00FE1B42" w:rsidRDefault="00FE1B42" w:rsidP="006E539A">
            <w:pPr>
              <w:spacing w:before="100" w:beforeAutospacing="1"/>
              <w:ind w:leftChars="50" w:left="105"/>
              <w:rPr>
                <w:rFonts w:ascii="宋体" w:hAnsi="宋体"/>
                <w:szCs w:val="21"/>
              </w:rPr>
            </w:pPr>
            <w:r>
              <w:rPr>
                <w:rFonts w:ascii="宋体" w:hAnsi="宋体" w:hint="eastAsia"/>
                <w:szCs w:val="21"/>
              </w:rPr>
              <w:t>倾点/℃           不高于</w:t>
            </w:r>
          </w:p>
        </w:tc>
        <w:tc>
          <w:tcPr>
            <w:tcW w:w="670" w:type="dxa"/>
            <w:vAlign w:val="center"/>
          </w:tcPr>
          <w:p w:rsidR="00FE1B42" w:rsidRDefault="00FE1B42" w:rsidP="006E539A">
            <w:pPr>
              <w:widowControl/>
              <w:jc w:val="center"/>
              <w:rPr>
                <w:rFonts w:ascii="宋体" w:hAnsi="宋体"/>
                <w:szCs w:val="21"/>
              </w:rPr>
            </w:pPr>
            <w:r>
              <w:rPr>
                <w:rFonts w:ascii="宋体" w:hAnsi="宋体" w:hint="eastAsia"/>
                <w:szCs w:val="21"/>
              </w:rPr>
              <w:t>-10</w:t>
            </w:r>
          </w:p>
        </w:tc>
        <w:tc>
          <w:tcPr>
            <w:tcW w:w="851" w:type="dxa"/>
            <w:vAlign w:val="center"/>
          </w:tcPr>
          <w:p w:rsidR="00FE1B42" w:rsidRDefault="00FE1B42" w:rsidP="006E539A">
            <w:pPr>
              <w:widowControl/>
              <w:jc w:val="center"/>
              <w:rPr>
                <w:rFonts w:ascii="宋体" w:hAnsi="宋体"/>
                <w:szCs w:val="21"/>
              </w:rPr>
            </w:pPr>
            <w:r>
              <w:rPr>
                <w:rFonts w:ascii="宋体" w:hAnsi="宋体" w:hint="eastAsia"/>
                <w:szCs w:val="21"/>
              </w:rPr>
              <w:t>-20</w:t>
            </w:r>
          </w:p>
        </w:tc>
        <w:tc>
          <w:tcPr>
            <w:tcW w:w="850" w:type="dxa"/>
            <w:vAlign w:val="center"/>
          </w:tcPr>
          <w:p w:rsidR="00FE1B42" w:rsidRDefault="00FE1B42" w:rsidP="006E539A">
            <w:pPr>
              <w:widowControl/>
              <w:jc w:val="center"/>
              <w:rPr>
                <w:rFonts w:ascii="宋体" w:hAnsi="宋体"/>
                <w:szCs w:val="21"/>
              </w:rPr>
            </w:pPr>
            <w:r>
              <w:rPr>
                <w:rFonts w:ascii="宋体" w:hAnsi="宋体" w:hint="eastAsia"/>
                <w:szCs w:val="21"/>
              </w:rPr>
              <w:t>-30</w:t>
            </w:r>
          </w:p>
        </w:tc>
        <w:tc>
          <w:tcPr>
            <w:tcW w:w="851" w:type="dxa"/>
            <w:vAlign w:val="center"/>
          </w:tcPr>
          <w:p w:rsidR="00FE1B42" w:rsidRDefault="00FE1B42" w:rsidP="006E539A">
            <w:pPr>
              <w:widowControl/>
              <w:jc w:val="center"/>
              <w:rPr>
                <w:rFonts w:ascii="宋体" w:hAnsi="宋体"/>
                <w:szCs w:val="21"/>
              </w:rPr>
            </w:pPr>
            <w:r>
              <w:rPr>
                <w:rFonts w:ascii="宋体" w:hAnsi="宋体" w:hint="eastAsia"/>
                <w:szCs w:val="21"/>
              </w:rPr>
              <w:t>-40</w:t>
            </w:r>
          </w:p>
        </w:tc>
        <w:tc>
          <w:tcPr>
            <w:tcW w:w="850" w:type="dxa"/>
            <w:vAlign w:val="center"/>
          </w:tcPr>
          <w:p w:rsidR="00FE1B42" w:rsidRDefault="00FE1B42" w:rsidP="006E539A">
            <w:pPr>
              <w:widowControl/>
              <w:jc w:val="center"/>
              <w:rPr>
                <w:rFonts w:ascii="宋体" w:hAnsi="宋体"/>
                <w:szCs w:val="21"/>
              </w:rPr>
            </w:pPr>
            <w:r>
              <w:rPr>
                <w:rFonts w:ascii="宋体" w:hAnsi="宋体" w:hint="eastAsia"/>
                <w:szCs w:val="21"/>
              </w:rPr>
              <w:t>-50</w:t>
            </w:r>
          </w:p>
        </w:tc>
        <w:tc>
          <w:tcPr>
            <w:tcW w:w="1560" w:type="dxa"/>
            <w:vAlign w:val="center"/>
          </w:tcPr>
          <w:p w:rsidR="00FE1B42" w:rsidRDefault="00FE1B42" w:rsidP="006E539A">
            <w:pPr>
              <w:widowControl/>
              <w:jc w:val="center"/>
              <w:rPr>
                <w:rFonts w:ascii="宋体" w:hAnsi="宋体"/>
                <w:szCs w:val="21"/>
              </w:rPr>
            </w:pPr>
            <w:r>
              <w:rPr>
                <w:rFonts w:ascii="宋体" w:hAnsi="宋体" w:hint="eastAsia"/>
                <w:szCs w:val="21"/>
              </w:rPr>
              <w:t>GB/T 3535</w:t>
            </w:r>
          </w:p>
        </w:tc>
      </w:tr>
      <w:tr w:rsidR="00FE1B42" w:rsidTr="006E539A">
        <w:trPr>
          <w:gridBefore w:val="1"/>
          <w:wBefore w:w="34" w:type="dxa"/>
          <w:trHeight w:val="2254"/>
        </w:trPr>
        <w:tc>
          <w:tcPr>
            <w:tcW w:w="534" w:type="dxa"/>
            <w:vMerge/>
          </w:tcPr>
          <w:p w:rsidR="00FE1B42" w:rsidRDefault="00FE1B42" w:rsidP="006E539A">
            <w:pPr>
              <w:rPr>
                <w:rFonts w:ascii="宋体" w:hAnsi="宋体"/>
                <w:szCs w:val="21"/>
              </w:rPr>
            </w:pPr>
          </w:p>
        </w:tc>
        <w:tc>
          <w:tcPr>
            <w:tcW w:w="3440" w:type="dxa"/>
            <w:gridSpan w:val="2"/>
          </w:tcPr>
          <w:p w:rsidR="00FE1B42" w:rsidRDefault="00FE1B42" w:rsidP="006E539A">
            <w:pPr>
              <w:rPr>
                <w:rFonts w:ascii="宋体" w:hAnsi="宋体"/>
                <w:szCs w:val="21"/>
              </w:rPr>
            </w:pPr>
            <w:r>
              <w:rPr>
                <w:rFonts w:ascii="宋体" w:hAnsi="宋体" w:hint="eastAsia"/>
                <w:szCs w:val="21"/>
              </w:rPr>
              <w:t>运动黏度/(mm</w:t>
            </w:r>
            <w:r>
              <w:rPr>
                <w:rFonts w:ascii="宋体" w:hAnsi="宋体" w:hint="eastAsia"/>
                <w:szCs w:val="21"/>
                <w:vertAlign w:val="superscript"/>
              </w:rPr>
              <w:t>2</w:t>
            </w:r>
            <w:r>
              <w:rPr>
                <w:rFonts w:ascii="宋体" w:hAnsi="宋体" w:hint="eastAsia"/>
                <w:szCs w:val="21"/>
              </w:rPr>
              <w:t>/s)   不大于</w:t>
            </w:r>
          </w:p>
          <w:p w:rsidR="00FE1B42" w:rsidRDefault="00FE1B42" w:rsidP="006E539A">
            <w:pPr>
              <w:ind w:firstLineChars="200" w:firstLine="420"/>
              <w:rPr>
                <w:rFonts w:ascii="宋体" w:hAnsi="宋体"/>
                <w:szCs w:val="21"/>
              </w:rPr>
            </w:pPr>
            <w:r>
              <w:rPr>
                <w:rFonts w:ascii="宋体" w:hAnsi="宋体" w:hint="eastAsia"/>
                <w:szCs w:val="21"/>
              </w:rPr>
              <w:t xml:space="preserve"> 40℃</w:t>
            </w:r>
          </w:p>
          <w:p w:rsidR="00FE1B42" w:rsidRDefault="00FE1B42" w:rsidP="006E539A">
            <w:pPr>
              <w:ind w:firstLineChars="250" w:firstLine="525"/>
              <w:rPr>
                <w:rFonts w:ascii="宋体" w:hAnsi="宋体"/>
                <w:szCs w:val="21"/>
              </w:rPr>
            </w:pPr>
            <w:r>
              <w:rPr>
                <w:rFonts w:ascii="宋体" w:hAnsi="宋体" w:hint="eastAsia"/>
                <w:szCs w:val="21"/>
              </w:rPr>
              <w:t xml:space="preserve"> 0℃</w:t>
            </w:r>
          </w:p>
          <w:p w:rsidR="00FE1B42" w:rsidRDefault="00FE1B42" w:rsidP="006E539A">
            <w:pPr>
              <w:ind w:firstLineChars="150" w:firstLine="315"/>
              <w:rPr>
                <w:rFonts w:ascii="宋体" w:hAnsi="宋体"/>
                <w:szCs w:val="21"/>
              </w:rPr>
            </w:pPr>
            <w:r>
              <w:rPr>
                <w:rFonts w:ascii="宋体" w:hAnsi="宋体" w:hint="eastAsia"/>
                <w:szCs w:val="21"/>
              </w:rPr>
              <w:t xml:space="preserve"> -10℃</w:t>
            </w:r>
          </w:p>
          <w:p w:rsidR="00FE1B42" w:rsidRDefault="00FE1B42" w:rsidP="006E539A">
            <w:pPr>
              <w:ind w:firstLineChars="150" w:firstLine="315"/>
              <w:rPr>
                <w:rFonts w:ascii="宋体" w:hAnsi="宋体"/>
                <w:szCs w:val="21"/>
              </w:rPr>
            </w:pPr>
            <w:r>
              <w:rPr>
                <w:rFonts w:ascii="宋体" w:hAnsi="宋体" w:hint="eastAsia"/>
                <w:szCs w:val="21"/>
              </w:rPr>
              <w:t xml:space="preserve"> -20℃</w:t>
            </w:r>
          </w:p>
          <w:p w:rsidR="00FE1B42" w:rsidRDefault="00FE1B42" w:rsidP="006E539A">
            <w:pPr>
              <w:ind w:firstLineChars="200" w:firstLine="420"/>
              <w:rPr>
                <w:rFonts w:ascii="宋体" w:hAnsi="宋体"/>
                <w:szCs w:val="21"/>
              </w:rPr>
            </w:pPr>
            <w:r>
              <w:rPr>
                <w:rFonts w:ascii="宋体" w:hAnsi="宋体" w:hint="eastAsia"/>
                <w:szCs w:val="21"/>
              </w:rPr>
              <w:t>-30℃</w:t>
            </w:r>
          </w:p>
          <w:p w:rsidR="00FE1B42" w:rsidRDefault="00FE1B42" w:rsidP="006E539A">
            <w:pPr>
              <w:ind w:firstLineChars="200" w:firstLine="420"/>
              <w:rPr>
                <w:rFonts w:ascii="宋体" w:hAnsi="宋体"/>
                <w:szCs w:val="21"/>
              </w:rPr>
            </w:pPr>
            <w:r>
              <w:rPr>
                <w:rFonts w:ascii="宋体" w:hAnsi="宋体" w:hint="eastAsia"/>
                <w:szCs w:val="21"/>
              </w:rPr>
              <w:t>-40℃</w:t>
            </w:r>
          </w:p>
        </w:tc>
        <w:tc>
          <w:tcPr>
            <w:tcW w:w="4072" w:type="dxa"/>
            <w:gridSpan w:val="5"/>
          </w:tcPr>
          <w:p w:rsidR="00FE1B42" w:rsidRDefault="00FE1B42" w:rsidP="006E539A">
            <w:pPr>
              <w:widowControl/>
              <w:rPr>
                <w:rFonts w:ascii="宋体" w:hAnsi="宋体"/>
                <w:szCs w:val="21"/>
              </w:rPr>
            </w:pPr>
          </w:p>
          <w:p w:rsidR="00FE1B42" w:rsidRDefault="00FE1B42" w:rsidP="006E539A">
            <w:pPr>
              <w:widowControl/>
              <w:rPr>
                <w:rFonts w:ascii="宋体" w:hAnsi="宋体"/>
                <w:szCs w:val="21"/>
              </w:rPr>
            </w:pPr>
            <w:r>
              <w:rPr>
                <w:rFonts w:ascii="宋体" w:hAnsi="宋体" w:hint="eastAsia"/>
                <w:szCs w:val="21"/>
              </w:rPr>
              <w:t>12    12      12     12    12</w:t>
            </w:r>
          </w:p>
          <w:p w:rsidR="00FE1B42" w:rsidRDefault="00FE1B42" w:rsidP="006E539A">
            <w:pPr>
              <w:widowControl/>
              <w:rPr>
                <w:rFonts w:ascii="宋体" w:hAnsi="宋体"/>
                <w:szCs w:val="21"/>
              </w:rPr>
            </w:pPr>
            <w:r>
              <w:rPr>
                <w:rFonts w:ascii="宋体" w:hAnsi="宋体" w:hint="eastAsia"/>
                <w:szCs w:val="21"/>
              </w:rPr>
              <w:t>1800  --      --     --    --</w:t>
            </w:r>
          </w:p>
          <w:p w:rsidR="00FE1B42" w:rsidRDefault="00FE1B42" w:rsidP="006E539A">
            <w:pPr>
              <w:widowControl/>
              <w:rPr>
                <w:rFonts w:ascii="宋体" w:hAnsi="宋体"/>
                <w:szCs w:val="21"/>
              </w:rPr>
            </w:pPr>
            <w:r>
              <w:rPr>
                <w:rFonts w:ascii="宋体" w:hAnsi="宋体" w:hint="eastAsia"/>
                <w:szCs w:val="21"/>
              </w:rPr>
              <w:t>--   1800     --     --    --</w:t>
            </w:r>
          </w:p>
          <w:p w:rsidR="00FE1B42" w:rsidRDefault="00FE1B42" w:rsidP="006E539A">
            <w:pPr>
              <w:widowControl/>
              <w:rPr>
                <w:rFonts w:ascii="宋体" w:hAnsi="宋体"/>
                <w:szCs w:val="21"/>
              </w:rPr>
            </w:pPr>
            <w:r>
              <w:rPr>
                <w:rFonts w:ascii="宋体" w:hAnsi="宋体" w:hint="eastAsia"/>
                <w:szCs w:val="21"/>
              </w:rPr>
              <w:t>--    --     1800    --    --</w:t>
            </w:r>
          </w:p>
          <w:p w:rsidR="00FE1B42" w:rsidRDefault="00FE1B42" w:rsidP="006E539A">
            <w:pPr>
              <w:widowControl/>
              <w:rPr>
                <w:rFonts w:ascii="宋体" w:hAnsi="宋体"/>
                <w:szCs w:val="21"/>
              </w:rPr>
            </w:pPr>
            <w:r>
              <w:rPr>
                <w:rFonts w:ascii="宋体" w:hAnsi="宋体" w:hint="eastAsia"/>
                <w:szCs w:val="21"/>
              </w:rPr>
              <w:t>--    --      --     1800  --</w:t>
            </w:r>
          </w:p>
          <w:p w:rsidR="00FE1B42" w:rsidRDefault="00FE1B42" w:rsidP="006E539A">
            <w:pPr>
              <w:widowControl/>
              <w:rPr>
                <w:rFonts w:ascii="宋体" w:hAnsi="宋体"/>
                <w:szCs w:val="21"/>
                <w:vertAlign w:val="superscript"/>
              </w:rPr>
            </w:pPr>
            <w:r>
              <w:rPr>
                <w:rFonts w:ascii="宋体" w:hAnsi="宋体" w:hint="eastAsia"/>
                <w:szCs w:val="21"/>
              </w:rPr>
              <w:t>--    --     --     --    2500</w:t>
            </w:r>
            <w:r>
              <w:rPr>
                <w:rFonts w:ascii="宋体" w:hAnsi="宋体" w:hint="eastAsia"/>
                <w:szCs w:val="21"/>
                <w:vertAlign w:val="superscript"/>
              </w:rPr>
              <w:t>b</w:t>
            </w:r>
          </w:p>
        </w:tc>
        <w:tc>
          <w:tcPr>
            <w:tcW w:w="1560" w:type="dxa"/>
          </w:tcPr>
          <w:p w:rsidR="00FE1B42" w:rsidRDefault="00FE1B42" w:rsidP="006E539A">
            <w:pPr>
              <w:widowControl/>
              <w:jc w:val="center"/>
              <w:rPr>
                <w:rFonts w:ascii="宋体" w:hAnsi="宋体"/>
                <w:szCs w:val="21"/>
              </w:rPr>
            </w:pPr>
            <w:r>
              <w:rPr>
                <w:rFonts w:ascii="宋体" w:hAnsi="宋体" w:hint="eastAsia"/>
                <w:szCs w:val="21"/>
              </w:rPr>
              <w:t>GB/T 265</w:t>
            </w:r>
          </w:p>
          <w:p w:rsidR="00FE1B42" w:rsidRDefault="00FE1B42" w:rsidP="006E539A">
            <w:pPr>
              <w:widowControl/>
              <w:jc w:val="center"/>
              <w:rPr>
                <w:rFonts w:ascii="宋体" w:hAnsi="宋体"/>
                <w:szCs w:val="21"/>
              </w:rPr>
            </w:pPr>
          </w:p>
          <w:p w:rsidR="00FE1B42" w:rsidRDefault="00FE1B42" w:rsidP="006E539A">
            <w:pPr>
              <w:widowControl/>
              <w:rPr>
                <w:rFonts w:ascii="宋体" w:hAnsi="宋体"/>
                <w:szCs w:val="21"/>
              </w:rPr>
            </w:pPr>
          </w:p>
          <w:p w:rsidR="00FE1B42" w:rsidRDefault="00FE1B42" w:rsidP="006E539A">
            <w:pPr>
              <w:widowControl/>
              <w:rPr>
                <w:rFonts w:ascii="宋体" w:hAnsi="宋体"/>
                <w:szCs w:val="21"/>
              </w:rPr>
            </w:pPr>
            <w:r>
              <w:rPr>
                <w:rFonts w:ascii="宋体" w:hAnsi="宋体" w:hint="eastAsia"/>
                <w:szCs w:val="21"/>
              </w:rPr>
              <w:t>NB/SH/T 0837</w:t>
            </w:r>
          </w:p>
        </w:tc>
      </w:tr>
      <w:tr w:rsidR="00FE1B42" w:rsidTr="006E539A">
        <w:trPr>
          <w:gridBefore w:val="1"/>
          <w:wBefore w:w="34" w:type="dxa"/>
          <w:trHeight w:val="552"/>
        </w:trPr>
        <w:tc>
          <w:tcPr>
            <w:tcW w:w="534" w:type="dxa"/>
            <w:vMerge/>
          </w:tcPr>
          <w:p w:rsidR="00FE1B42" w:rsidRDefault="00FE1B42" w:rsidP="006E539A">
            <w:pPr>
              <w:rPr>
                <w:rFonts w:ascii="宋体" w:hAnsi="宋体"/>
                <w:szCs w:val="21"/>
              </w:rPr>
            </w:pPr>
          </w:p>
        </w:tc>
        <w:tc>
          <w:tcPr>
            <w:tcW w:w="3440" w:type="dxa"/>
            <w:gridSpan w:val="2"/>
            <w:vAlign w:val="center"/>
          </w:tcPr>
          <w:p w:rsidR="00FE1B42" w:rsidRDefault="00FE1B42" w:rsidP="006E539A">
            <w:pPr>
              <w:rPr>
                <w:rFonts w:ascii="宋体" w:hAnsi="宋体"/>
                <w:szCs w:val="21"/>
              </w:rPr>
            </w:pPr>
            <w:r>
              <w:rPr>
                <w:rFonts w:ascii="宋体" w:hAnsi="宋体" w:hint="eastAsia"/>
                <w:szCs w:val="21"/>
              </w:rPr>
              <w:t>水含量</w:t>
            </w:r>
            <w:r>
              <w:rPr>
                <w:rFonts w:ascii="宋体" w:hAnsi="宋体" w:hint="eastAsia"/>
                <w:szCs w:val="21"/>
                <w:vertAlign w:val="superscript"/>
              </w:rPr>
              <w:t>c</w:t>
            </w:r>
            <w:r>
              <w:rPr>
                <w:rFonts w:ascii="宋体" w:hAnsi="宋体" w:hint="eastAsia"/>
                <w:szCs w:val="21"/>
              </w:rPr>
              <w:t>/(㎎/㎏)    不大于</w:t>
            </w:r>
          </w:p>
        </w:tc>
        <w:tc>
          <w:tcPr>
            <w:tcW w:w="4072" w:type="dxa"/>
            <w:gridSpan w:val="5"/>
            <w:vAlign w:val="center"/>
          </w:tcPr>
          <w:p w:rsidR="00FE1B42" w:rsidRDefault="00FE1B42" w:rsidP="006E539A">
            <w:pPr>
              <w:jc w:val="center"/>
              <w:rPr>
                <w:rFonts w:ascii="宋体" w:hAnsi="宋体"/>
                <w:szCs w:val="21"/>
              </w:rPr>
            </w:pPr>
            <w:r>
              <w:rPr>
                <w:rFonts w:ascii="宋体" w:hAnsi="宋体" w:hint="eastAsia"/>
                <w:szCs w:val="21"/>
              </w:rPr>
              <w:t>30/40</w:t>
            </w:r>
          </w:p>
        </w:tc>
        <w:tc>
          <w:tcPr>
            <w:tcW w:w="1560" w:type="dxa"/>
            <w:vAlign w:val="center"/>
          </w:tcPr>
          <w:p w:rsidR="00FE1B42" w:rsidRDefault="00FE1B42" w:rsidP="006E539A">
            <w:pPr>
              <w:jc w:val="center"/>
              <w:rPr>
                <w:rFonts w:ascii="宋体" w:hAnsi="宋体"/>
                <w:szCs w:val="21"/>
              </w:rPr>
            </w:pPr>
            <w:r>
              <w:rPr>
                <w:rFonts w:ascii="宋体" w:hAnsi="宋体" w:hint="eastAsia"/>
                <w:szCs w:val="21"/>
              </w:rPr>
              <w:t>GB/T 7600</w:t>
            </w:r>
          </w:p>
        </w:tc>
      </w:tr>
      <w:tr w:rsidR="00FE1B42" w:rsidTr="006E539A">
        <w:trPr>
          <w:gridBefore w:val="1"/>
          <w:wBefore w:w="34" w:type="dxa"/>
          <w:trHeight w:val="995"/>
        </w:trPr>
        <w:tc>
          <w:tcPr>
            <w:tcW w:w="534" w:type="dxa"/>
            <w:vMerge/>
          </w:tcPr>
          <w:p w:rsidR="00FE1B42" w:rsidRDefault="00FE1B42" w:rsidP="006E539A">
            <w:pPr>
              <w:jc w:val="left"/>
              <w:rPr>
                <w:rFonts w:ascii="宋体" w:hAnsi="宋体"/>
                <w:szCs w:val="21"/>
              </w:rPr>
            </w:pPr>
          </w:p>
        </w:tc>
        <w:tc>
          <w:tcPr>
            <w:tcW w:w="3440" w:type="dxa"/>
            <w:gridSpan w:val="2"/>
          </w:tcPr>
          <w:p w:rsidR="00FE1B42" w:rsidRDefault="00FE1B42" w:rsidP="006E539A">
            <w:pPr>
              <w:jc w:val="left"/>
              <w:rPr>
                <w:rFonts w:ascii="宋体" w:hAnsi="宋体"/>
                <w:szCs w:val="21"/>
              </w:rPr>
            </w:pPr>
            <w:r>
              <w:rPr>
                <w:rFonts w:ascii="宋体" w:hAnsi="宋体" w:hint="eastAsia"/>
                <w:szCs w:val="21"/>
              </w:rPr>
              <w:t>击穿电压kV         大于</w:t>
            </w:r>
          </w:p>
          <w:p w:rsidR="00FE1B42" w:rsidRDefault="00FE1B42" w:rsidP="006E539A">
            <w:pPr>
              <w:jc w:val="left"/>
              <w:rPr>
                <w:rFonts w:ascii="宋体" w:hAnsi="宋体"/>
                <w:szCs w:val="21"/>
              </w:rPr>
            </w:pPr>
            <w:r>
              <w:rPr>
                <w:rFonts w:ascii="宋体" w:hAnsi="宋体" w:hint="eastAsia"/>
                <w:szCs w:val="21"/>
              </w:rPr>
              <w:t>未处理油</w:t>
            </w:r>
          </w:p>
          <w:p w:rsidR="00FE1B42" w:rsidRDefault="00FE1B42" w:rsidP="006E539A">
            <w:pPr>
              <w:jc w:val="left"/>
              <w:rPr>
                <w:rFonts w:ascii="宋体" w:hAnsi="宋体"/>
                <w:szCs w:val="21"/>
              </w:rPr>
            </w:pPr>
            <w:r>
              <w:rPr>
                <w:rFonts w:ascii="宋体" w:hAnsi="宋体" w:hint="eastAsia"/>
                <w:szCs w:val="21"/>
              </w:rPr>
              <w:t>经处理油</w:t>
            </w:r>
            <w:r>
              <w:rPr>
                <w:rFonts w:ascii="宋体" w:hAnsi="宋体" w:hint="eastAsia"/>
                <w:szCs w:val="21"/>
                <w:vertAlign w:val="superscript"/>
              </w:rPr>
              <w:t>d</w:t>
            </w:r>
          </w:p>
        </w:tc>
        <w:tc>
          <w:tcPr>
            <w:tcW w:w="4072" w:type="dxa"/>
            <w:gridSpan w:val="5"/>
            <w:vAlign w:val="center"/>
          </w:tcPr>
          <w:p w:rsidR="00FE1B42" w:rsidRDefault="00FE1B42" w:rsidP="006E539A">
            <w:pPr>
              <w:widowControl/>
              <w:jc w:val="center"/>
              <w:rPr>
                <w:rFonts w:ascii="宋体" w:hAnsi="宋体"/>
                <w:szCs w:val="21"/>
              </w:rPr>
            </w:pPr>
            <w:r>
              <w:rPr>
                <w:rFonts w:ascii="宋体" w:hAnsi="宋体" w:hint="eastAsia"/>
                <w:szCs w:val="21"/>
              </w:rPr>
              <w:t>30</w:t>
            </w:r>
          </w:p>
          <w:p w:rsidR="00FE1B42" w:rsidRDefault="00FE1B42" w:rsidP="006E539A">
            <w:pPr>
              <w:widowControl/>
              <w:jc w:val="center"/>
              <w:rPr>
                <w:rFonts w:ascii="宋体" w:hAnsi="宋体"/>
                <w:szCs w:val="21"/>
              </w:rPr>
            </w:pPr>
            <w:r>
              <w:rPr>
                <w:rFonts w:ascii="宋体" w:hAnsi="宋体" w:hint="eastAsia"/>
                <w:szCs w:val="21"/>
              </w:rPr>
              <w:t>70</w:t>
            </w:r>
          </w:p>
        </w:tc>
        <w:tc>
          <w:tcPr>
            <w:tcW w:w="1560" w:type="dxa"/>
          </w:tcPr>
          <w:p w:rsidR="00FE1B42" w:rsidRDefault="00FE1B42" w:rsidP="006E539A">
            <w:pPr>
              <w:widowControl/>
              <w:jc w:val="center"/>
              <w:rPr>
                <w:rFonts w:ascii="宋体" w:hAnsi="宋体"/>
                <w:szCs w:val="21"/>
              </w:rPr>
            </w:pPr>
            <w:r>
              <w:rPr>
                <w:rFonts w:ascii="宋体" w:hAnsi="宋体" w:hint="eastAsia"/>
                <w:szCs w:val="21"/>
              </w:rPr>
              <w:t>GB/T 507</w:t>
            </w:r>
          </w:p>
        </w:tc>
      </w:tr>
      <w:tr w:rsidR="00FE1B42" w:rsidTr="006E539A">
        <w:trPr>
          <w:gridBefore w:val="1"/>
          <w:wBefore w:w="34" w:type="dxa"/>
          <w:trHeight w:val="878"/>
        </w:trPr>
        <w:tc>
          <w:tcPr>
            <w:tcW w:w="534" w:type="dxa"/>
            <w:vMerge/>
          </w:tcPr>
          <w:p w:rsidR="00FE1B42" w:rsidRDefault="00FE1B42" w:rsidP="006E539A">
            <w:pPr>
              <w:jc w:val="left"/>
              <w:rPr>
                <w:rFonts w:ascii="宋体" w:hAnsi="宋体"/>
                <w:szCs w:val="21"/>
              </w:rPr>
            </w:pPr>
          </w:p>
        </w:tc>
        <w:tc>
          <w:tcPr>
            <w:tcW w:w="3440" w:type="dxa"/>
            <w:gridSpan w:val="2"/>
          </w:tcPr>
          <w:p w:rsidR="00FE1B42" w:rsidRDefault="00FE1B42" w:rsidP="006E539A">
            <w:pPr>
              <w:jc w:val="left"/>
              <w:rPr>
                <w:rFonts w:ascii="宋体" w:hAnsi="宋体"/>
                <w:szCs w:val="21"/>
              </w:rPr>
            </w:pPr>
            <w:r>
              <w:rPr>
                <w:rFonts w:ascii="宋体" w:hAnsi="宋体" w:hint="eastAsia"/>
                <w:szCs w:val="21"/>
              </w:rPr>
              <w:t>密度（20℃）/（㎏/m</w:t>
            </w:r>
            <w:r>
              <w:rPr>
                <w:rFonts w:ascii="宋体" w:hAnsi="宋体" w:hint="eastAsia"/>
                <w:szCs w:val="21"/>
                <w:vertAlign w:val="superscript"/>
              </w:rPr>
              <w:t>3</w:t>
            </w:r>
            <w:r>
              <w:rPr>
                <w:rFonts w:ascii="宋体" w:hAnsi="宋体" w:hint="eastAsia"/>
                <w:szCs w:val="21"/>
              </w:rPr>
              <w:t>）</w:t>
            </w:r>
          </w:p>
          <w:p w:rsidR="00FE1B42" w:rsidRDefault="00FE1B42" w:rsidP="006E539A">
            <w:pPr>
              <w:jc w:val="left"/>
              <w:rPr>
                <w:rFonts w:ascii="宋体" w:hAnsi="宋体"/>
                <w:szCs w:val="21"/>
              </w:rPr>
            </w:pPr>
          </w:p>
          <w:p w:rsidR="00FE1B42" w:rsidRDefault="00FE1B42" w:rsidP="006E539A">
            <w:pPr>
              <w:jc w:val="left"/>
              <w:rPr>
                <w:rFonts w:ascii="宋体" w:hAnsi="宋体"/>
                <w:szCs w:val="21"/>
              </w:rPr>
            </w:pPr>
            <w:r>
              <w:rPr>
                <w:rFonts w:ascii="宋体" w:hAnsi="宋体" w:hint="eastAsia"/>
                <w:szCs w:val="21"/>
              </w:rPr>
              <w:t xml:space="preserve">                   不大于</w:t>
            </w:r>
          </w:p>
        </w:tc>
        <w:tc>
          <w:tcPr>
            <w:tcW w:w="4072" w:type="dxa"/>
            <w:gridSpan w:val="5"/>
            <w:vAlign w:val="bottom"/>
          </w:tcPr>
          <w:p w:rsidR="00FE1B42" w:rsidRDefault="00FE1B42" w:rsidP="006E539A">
            <w:pPr>
              <w:widowControl/>
              <w:jc w:val="center"/>
              <w:rPr>
                <w:rFonts w:ascii="宋体" w:hAnsi="宋体"/>
                <w:szCs w:val="21"/>
              </w:rPr>
            </w:pPr>
            <w:r>
              <w:rPr>
                <w:rFonts w:ascii="宋体" w:hAnsi="宋体" w:hint="eastAsia"/>
                <w:szCs w:val="21"/>
              </w:rPr>
              <w:t>895</w:t>
            </w:r>
          </w:p>
        </w:tc>
        <w:tc>
          <w:tcPr>
            <w:tcW w:w="1560" w:type="dxa"/>
            <w:vAlign w:val="center"/>
          </w:tcPr>
          <w:p w:rsidR="00FE1B42" w:rsidRDefault="00FE1B42" w:rsidP="006E539A">
            <w:pPr>
              <w:widowControl/>
              <w:jc w:val="center"/>
              <w:rPr>
                <w:rFonts w:ascii="宋体" w:hAnsi="宋体"/>
                <w:szCs w:val="21"/>
              </w:rPr>
            </w:pPr>
            <w:r>
              <w:rPr>
                <w:rFonts w:ascii="宋体" w:hAnsi="宋体" w:hint="eastAsia"/>
                <w:szCs w:val="21"/>
              </w:rPr>
              <w:t>GB/T 1884和GB/T 1885</w:t>
            </w:r>
          </w:p>
        </w:tc>
      </w:tr>
      <w:tr w:rsidR="00FE1B42" w:rsidTr="006E539A">
        <w:trPr>
          <w:gridBefore w:val="1"/>
          <w:wBefore w:w="34" w:type="dxa"/>
          <w:trHeight w:val="417"/>
        </w:trPr>
        <w:tc>
          <w:tcPr>
            <w:tcW w:w="534" w:type="dxa"/>
            <w:vMerge/>
          </w:tcPr>
          <w:p w:rsidR="00FE1B42" w:rsidRDefault="00FE1B42" w:rsidP="006E539A">
            <w:pPr>
              <w:jc w:val="left"/>
              <w:rPr>
                <w:rFonts w:ascii="宋体" w:hAnsi="宋体"/>
                <w:szCs w:val="21"/>
              </w:rPr>
            </w:pPr>
          </w:p>
        </w:tc>
        <w:tc>
          <w:tcPr>
            <w:tcW w:w="3440" w:type="dxa"/>
            <w:gridSpan w:val="2"/>
            <w:vAlign w:val="center"/>
          </w:tcPr>
          <w:p w:rsidR="00FE1B42" w:rsidRDefault="00FE1B42" w:rsidP="006E539A">
            <w:pPr>
              <w:rPr>
                <w:rFonts w:ascii="宋体" w:hAnsi="宋体"/>
                <w:szCs w:val="21"/>
              </w:rPr>
            </w:pPr>
            <w:r>
              <w:rPr>
                <w:rFonts w:ascii="宋体" w:hAnsi="宋体" w:hint="eastAsia"/>
                <w:szCs w:val="21"/>
              </w:rPr>
              <w:t>介质损耗因数（90℃）不大于</w:t>
            </w:r>
          </w:p>
        </w:tc>
        <w:tc>
          <w:tcPr>
            <w:tcW w:w="4072" w:type="dxa"/>
            <w:gridSpan w:val="5"/>
            <w:vAlign w:val="center"/>
          </w:tcPr>
          <w:p w:rsidR="00FE1B42" w:rsidRDefault="00FE1B42" w:rsidP="006E539A">
            <w:pPr>
              <w:widowControl/>
              <w:jc w:val="center"/>
              <w:rPr>
                <w:rFonts w:ascii="宋体" w:hAnsi="宋体"/>
                <w:szCs w:val="21"/>
              </w:rPr>
            </w:pPr>
            <w:r>
              <w:rPr>
                <w:rFonts w:ascii="宋体" w:hAnsi="宋体" w:hint="eastAsia"/>
                <w:szCs w:val="21"/>
              </w:rPr>
              <w:t>0.5%</w:t>
            </w:r>
          </w:p>
        </w:tc>
        <w:tc>
          <w:tcPr>
            <w:tcW w:w="1560" w:type="dxa"/>
            <w:vAlign w:val="center"/>
          </w:tcPr>
          <w:p w:rsidR="00FE1B42" w:rsidRDefault="00FE1B42" w:rsidP="006E539A">
            <w:pPr>
              <w:widowControl/>
              <w:jc w:val="center"/>
              <w:rPr>
                <w:rFonts w:ascii="宋体" w:hAnsi="宋体"/>
                <w:szCs w:val="21"/>
              </w:rPr>
            </w:pPr>
            <w:r>
              <w:rPr>
                <w:rFonts w:ascii="宋体" w:hAnsi="宋体" w:hint="eastAsia"/>
                <w:szCs w:val="21"/>
              </w:rPr>
              <w:t>GB 2536-2011</w:t>
            </w:r>
          </w:p>
        </w:tc>
      </w:tr>
      <w:tr w:rsidR="00FE1B42" w:rsidTr="006E539A">
        <w:trPr>
          <w:gridBefore w:val="1"/>
          <w:wBefore w:w="34" w:type="dxa"/>
          <w:trHeight w:val="478"/>
        </w:trPr>
        <w:tc>
          <w:tcPr>
            <w:tcW w:w="534" w:type="dxa"/>
            <w:vMerge/>
            <w:textDirection w:val="tbRlV"/>
            <w:vAlign w:val="center"/>
          </w:tcPr>
          <w:p w:rsidR="00FE1B42" w:rsidRDefault="00FE1B42" w:rsidP="006E539A">
            <w:pPr>
              <w:ind w:left="113" w:right="113"/>
              <w:jc w:val="center"/>
              <w:rPr>
                <w:rFonts w:ascii="宋体" w:hAnsi="宋体"/>
                <w:szCs w:val="21"/>
                <w:vertAlign w:val="superscript"/>
              </w:rPr>
            </w:pPr>
          </w:p>
        </w:tc>
        <w:tc>
          <w:tcPr>
            <w:tcW w:w="3440" w:type="dxa"/>
            <w:gridSpan w:val="2"/>
            <w:vAlign w:val="center"/>
          </w:tcPr>
          <w:p w:rsidR="00FE1B42" w:rsidRDefault="00FE1B42" w:rsidP="006E539A">
            <w:pPr>
              <w:rPr>
                <w:rFonts w:ascii="宋体" w:hAnsi="宋体"/>
                <w:szCs w:val="21"/>
              </w:rPr>
            </w:pPr>
            <w:r>
              <w:rPr>
                <w:rFonts w:ascii="宋体" w:hAnsi="宋体" w:hint="eastAsia"/>
                <w:szCs w:val="21"/>
              </w:rPr>
              <w:t>外观</w:t>
            </w:r>
          </w:p>
        </w:tc>
        <w:tc>
          <w:tcPr>
            <w:tcW w:w="4072" w:type="dxa"/>
            <w:gridSpan w:val="5"/>
            <w:vAlign w:val="center"/>
          </w:tcPr>
          <w:p w:rsidR="00FE1B42" w:rsidRDefault="00FE1B42" w:rsidP="006E539A">
            <w:pPr>
              <w:rPr>
                <w:rFonts w:ascii="宋体" w:hAnsi="宋体"/>
                <w:szCs w:val="21"/>
              </w:rPr>
            </w:pPr>
            <w:r>
              <w:rPr>
                <w:rFonts w:ascii="宋体" w:hAnsi="宋体" w:hint="eastAsia"/>
                <w:szCs w:val="21"/>
              </w:rPr>
              <w:t>清澈透明、无沉淀物和悬浮液</w:t>
            </w:r>
          </w:p>
        </w:tc>
        <w:tc>
          <w:tcPr>
            <w:tcW w:w="1560" w:type="dxa"/>
            <w:vAlign w:val="center"/>
          </w:tcPr>
          <w:p w:rsidR="00FE1B42" w:rsidRDefault="00FE1B42" w:rsidP="006E539A">
            <w:pPr>
              <w:jc w:val="center"/>
              <w:rPr>
                <w:rFonts w:ascii="宋体" w:hAnsi="宋体"/>
                <w:szCs w:val="21"/>
              </w:rPr>
            </w:pPr>
            <w:r>
              <w:rPr>
                <w:rFonts w:ascii="宋体" w:hAnsi="宋体" w:hint="eastAsia"/>
                <w:szCs w:val="21"/>
              </w:rPr>
              <w:t>目测</w:t>
            </w:r>
          </w:p>
        </w:tc>
      </w:tr>
      <w:tr w:rsidR="00FE1B42" w:rsidTr="006E539A">
        <w:trPr>
          <w:gridBefore w:val="1"/>
          <w:wBefore w:w="34" w:type="dxa"/>
          <w:trHeight w:val="541"/>
        </w:trPr>
        <w:tc>
          <w:tcPr>
            <w:tcW w:w="534" w:type="dxa"/>
            <w:vMerge/>
          </w:tcPr>
          <w:p w:rsidR="00FE1B42" w:rsidRDefault="00FE1B42" w:rsidP="006E539A">
            <w:pPr>
              <w:jc w:val="left"/>
              <w:rPr>
                <w:rFonts w:ascii="宋体" w:hAnsi="宋体"/>
                <w:szCs w:val="21"/>
              </w:rPr>
            </w:pPr>
          </w:p>
        </w:tc>
        <w:tc>
          <w:tcPr>
            <w:tcW w:w="3402" w:type="dxa"/>
            <w:vAlign w:val="center"/>
          </w:tcPr>
          <w:p w:rsidR="00FE1B42" w:rsidRDefault="00FE1B42" w:rsidP="006E539A">
            <w:pPr>
              <w:rPr>
                <w:rFonts w:ascii="宋体" w:hAnsi="宋体"/>
                <w:szCs w:val="21"/>
              </w:rPr>
            </w:pPr>
            <w:r>
              <w:rPr>
                <w:rFonts w:ascii="宋体" w:hAnsi="宋体" w:hint="eastAsia"/>
                <w:szCs w:val="21"/>
              </w:rPr>
              <w:t>闪点（闭口）/℃  不低于</w:t>
            </w:r>
          </w:p>
        </w:tc>
        <w:tc>
          <w:tcPr>
            <w:tcW w:w="4110" w:type="dxa"/>
            <w:gridSpan w:val="6"/>
            <w:vAlign w:val="center"/>
          </w:tcPr>
          <w:p w:rsidR="00FE1B42" w:rsidRDefault="00FE1B42" w:rsidP="006E539A">
            <w:pPr>
              <w:jc w:val="center"/>
              <w:rPr>
                <w:rFonts w:ascii="宋体" w:hAnsi="宋体"/>
                <w:color w:val="FF0000"/>
                <w:szCs w:val="21"/>
              </w:rPr>
            </w:pPr>
            <w:r>
              <w:rPr>
                <w:rFonts w:ascii="宋体" w:hAnsi="宋体" w:hint="eastAsia"/>
                <w:color w:val="FF0000"/>
                <w:szCs w:val="21"/>
              </w:rPr>
              <w:t>140</w:t>
            </w:r>
          </w:p>
        </w:tc>
        <w:tc>
          <w:tcPr>
            <w:tcW w:w="1560" w:type="dxa"/>
            <w:vAlign w:val="center"/>
          </w:tcPr>
          <w:p w:rsidR="00FE1B42" w:rsidRDefault="00FE1B42" w:rsidP="006E539A">
            <w:pPr>
              <w:jc w:val="center"/>
              <w:rPr>
                <w:rFonts w:ascii="宋体" w:hAnsi="宋体"/>
                <w:szCs w:val="21"/>
              </w:rPr>
            </w:pPr>
            <w:r>
              <w:rPr>
                <w:rFonts w:ascii="宋体" w:hAnsi="宋体" w:hint="eastAsia"/>
                <w:szCs w:val="21"/>
              </w:rPr>
              <w:t>GB/T 261</w:t>
            </w:r>
          </w:p>
        </w:tc>
      </w:tr>
      <w:tr w:rsidR="00FE1B42" w:rsidTr="006E539A">
        <w:trPr>
          <w:gridBefore w:val="1"/>
          <w:wBefore w:w="34" w:type="dxa"/>
          <w:trHeight w:val="541"/>
        </w:trPr>
        <w:tc>
          <w:tcPr>
            <w:tcW w:w="534" w:type="dxa"/>
            <w:vMerge/>
          </w:tcPr>
          <w:p w:rsidR="00FE1B42" w:rsidRDefault="00FE1B42" w:rsidP="006E539A">
            <w:pPr>
              <w:jc w:val="left"/>
              <w:rPr>
                <w:rFonts w:ascii="宋体" w:hAnsi="宋体"/>
                <w:szCs w:val="21"/>
              </w:rPr>
            </w:pPr>
          </w:p>
        </w:tc>
        <w:tc>
          <w:tcPr>
            <w:tcW w:w="3402" w:type="dxa"/>
            <w:vAlign w:val="center"/>
          </w:tcPr>
          <w:p w:rsidR="00FE1B42" w:rsidRDefault="00FE1B42" w:rsidP="006E539A">
            <w:pPr>
              <w:rPr>
                <w:rFonts w:ascii="宋体" w:hAnsi="宋体" w:hint="eastAsia"/>
                <w:szCs w:val="21"/>
              </w:rPr>
            </w:pPr>
            <w:r>
              <w:rPr>
                <w:rFonts w:ascii="宋体" w:hAnsi="宋体" w:hint="eastAsia"/>
                <w:szCs w:val="21"/>
              </w:rPr>
              <w:t>参入杂质</w:t>
            </w:r>
          </w:p>
        </w:tc>
        <w:tc>
          <w:tcPr>
            <w:tcW w:w="4110" w:type="dxa"/>
            <w:gridSpan w:val="6"/>
            <w:vAlign w:val="center"/>
          </w:tcPr>
          <w:p w:rsidR="00FE1B42" w:rsidRDefault="00FE1B42" w:rsidP="006E539A">
            <w:pPr>
              <w:jc w:val="center"/>
              <w:rPr>
                <w:rFonts w:ascii="宋体" w:hAnsi="宋体" w:hint="eastAsia"/>
                <w:szCs w:val="21"/>
              </w:rPr>
            </w:pPr>
            <w:r>
              <w:rPr>
                <w:rFonts w:ascii="宋体" w:hAnsi="宋体" w:hint="eastAsia"/>
                <w:szCs w:val="21"/>
              </w:rPr>
              <w:t>不含乙炔</w:t>
            </w:r>
          </w:p>
        </w:tc>
        <w:tc>
          <w:tcPr>
            <w:tcW w:w="1560" w:type="dxa"/>
            <w:vAlign w:val="center"/>
          </w:tcPr>
          <w:p w:rsidR="00FE1B42" w:rsidRDefault="00FE1B42" w:rsidP="006E539A">
            <w:pPr>
              <w:jc w:val="center"/>
              <w:rPr>
                <w:rFonts w:ascii="宋体" w:hAnsi="宋体" w:hint="eastAsia"/>
                <w:szCs w:val="21"/>
              </w:rPr>
            </w:pPr>
          </w:p>
        </w:tc>
      </w:tr>
      <w:tr w:rsidR="00FE1B42" w:rsidTr="006E539A">
        <w:trPr>
          <w:trHeight w:val="1681"/>
        </w:trPr>
        <w:tc>
          <w:tcPr>
            <w:tcW w:w="9640" w:type="dxa"/>
            <w:gridSpan w:val="10"/>
          </w:tcPr>
          <w:p w:rsidR="00FE1B42" w:rsidRDefault="00FE1B42" w:rsidP="00FE1B42">
            <w:pPr>
              <w:pStyle w:val="a6"/>
              <w:numPr>
                <w:ilvl w:val="0"/>
                <w:numId w:val="3"/>
              </w:numPr>
              <w:ind w:firstLineChars="0"/>
              <w:jc w:val="left"/>
              <w:rPr>
                <w:rFonts w:ascii="宋体" w:hAnsi="宋体"/>
                <w:szCs w:val="21"/>
              </w:rPr>
            </w:pPr>
            <w:r>
              <w:rPr>
                <w:rFonts w:ascii="宋体" w:hAnsi="宋体" w:hint="eastAsia"/>
                <w:szCs w:val="21"/>
              </w:rPr>
              <w:t>对绝缘和冷却有影响的性能。</w:t>
            </w:r>
          </w:p>
          <w:p w:rsidR="00FE1B42" w:rsidRDefault="00FE1B42" w:rsidP="00FE1B42">
            <w:pPr>
              <w:pStyle w:val="a6"/>
              <w:numPr>
                <w:ilvl w:val="0"/>
                <w:numId w:val="3"/>
              </w:numPr>
              <w:ind w:firstLineChars="0"/>
              <w:jc w:val="left"/>
              <w:rPr>
                <w:rFonts w:ascii="宋体" w:hAnsi="宋体"/>
                <w:szCs w:val="21"/>
              </w:rPr>
            </w:pPr>
            <w:r>
              <w:rPr>
                <w:rFonts w:ascii="宋体" w:hAnsi="宋体" w:hint="eastAsia"/>
                <w:szCs w:val="21"/>
              </w:rPr>
              <w:t>运动黏度（-40℃）以第一个黏度值为测定结果。</w:t>
            </w:r>
          </w:p>
          <w:p w:rsidR="00FE1B42" w:rsidRDefault="00FE1B42" w:rsidP="00FE1B42">
            <w:pPr>
              <w:pStyle w:val="a6"/>
              <w:numPr>
                <w:ilvl w:val="0"/>
                <w:numId w:val="3"/>
              </w:numPr>
              <w:ind w:firstLineChars="0"/>
              <w:jc w:val="left"/>
              <w:rPr>
                <w:rFonts w:ascii="宋体" w:hAnsi="宋体" w:hint="eastAsia"/>
                <w:szCs w:val="21"/>
              </w:rPr>
            </w:pPr>
            <w:r>
              <w:rPr>
                <w:rFonts w:ascii="宋体" w:hAnsi="宋体" w:hint="eastAsia"/>
                <w:szCs w:val="21"/>
              </w:rPr>
              <w:t>当环境湿度不大于50％时，水含量不大于30mg/kg适用于散装交货：水含量不大于40mg/kg适用于桶装或复合中型集装容器（IBC）交货。当环境湿度大于50％时，水含量不大于35mg/kg适用于散装交货；水含量不大于45mg/kg适用于桶装或复合中型集装容器（IBC）交货。</w:t>
            </w:r>
          </w:p>
          <w:p w:rsidR="00FE1B42" w:rsidRDefault="00FE1B42" w:rsidP="00FE1B42">
            <w:pPr>
              <w:pStyle w:val="a6"/>
              <w:numPr>
                <w:ilvl w:val="0"/>
                <w:numId w:val="3"/>
              </w:numPr>
              <w:ind w:firstLineChars="0"/>
              <w:jc w:val="left"/>
              <w:rPr>
                <w:rFonts w:ascii="宋体" w:hAnsi="宋体"/>
                <w:szCs w:val="21"/>
              </w:rPr>
            </w:pPr>
            <w:r>
              <w:rPr>
                <w:rFonts w:ascii="宋体" w:hAnsi="宋体" w:hint="eastAsia"/>
                <w:szCs w:val="21"/>
              </w:rPr>
              <w:t>经处理油是指试验样品在60℃下通过真空（压力低于2.5kPa</w:t>
            </w:r>
            <w:r>
              <w:rPr>
                <w:rFonts w:ascii="宋体" w:hAnsi="宋体"/>
                <w:szCs w:val="21"/>
              </w:rPr>
              <w:t>）</w:t>
            </w:r>
            <w:r>
              <w:rPr>
                <w:rFonts w:ascii="宋体" w:hAnsi="宋体" w:hint="eastAsia"/>
                <w:szCs w:val="21"/>
              </w:rPr>
              <w:t>过滤流过一个孔隙度为4的烧结玻璃过滤器的油。</w:t>
            </w:r>
          </w:p>
        </w:tc>
      </w:tr>
    </w:tbl>
    <w:p w:rsidR="00FE1B42" w:rsidRDefault="00FE1B42" w:rsidP="00FE1B42">
      <w:pPr>
        <w:pStyle w:val="a7"/>
        <w:ind w:left="851" w:firstLineChars="0" w:firstLine="0"/>
        <w:jc w:val="left"/>
        <w:rPr>
          <w:rFonts w:hAnsi="宋体" w:hint="eastAsia"/>
          <w:sz w:val="24"/>
          <w:szCs w:val="24"/>
        </w:rPr>
      </w:pP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包装</w:t>
      </w:r>
    </w:p>
    <w:p w:rsidR="00FE1B42" w:rsidRDefault="00FE1B42" w:rsidP="00FE1B42">
      <w:pPr>
        <w:pStyle w:val="a7"/>
        <w:spacing w:line="400" w:lineRule="exact"/>
        <w:ind w:firstLine="480"/>
        <w:rPr>
          <w:rFonts w:hAnsi="宋体"/>
          <w:sz w:val="24"/>
          <w:szCs w:val="24"/>
        </w:rPr>
      </w:pPr>
      <w:r>
        <w:rPr>
          <w:rFonts w:hAnsi="宋体" w:hint="eastAsia"/>
          <w:sz w:val="24"/>
          <w:szCs w:val="24"/>
        </w:rPr>
        <w:t>使用油罐车装油交货，装油前必须保证干净、不影响产品的质量，油注入油罐车时，考虑到油的膨胀性，留出必要的安全空间，切不可充满，装完油后应立即加盖密封。</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lastRenderedPageBreak/>
        <w:t>贮存</w:t>
      </w:r>
    </w:p>
    <w:p w:rsidR="00FE1B42" w:rsidRDefault="00FE1B42" w:rsidP="00FE1B42">
      <w:pPr>
        <w:pStyle w:val="a7"/>
        <w:spacing w:line="400" w:lineRule="exact"/>
        <w:ind w:firstLine="480"/>
        <w:rPr>
          <w:rFonts w:hAnsi="宋体" w:hint="eastAsia"/>
          <w:sz w:val="24"/>
          <w:szCs w:val="24"/>
        </w:rPr>
      </w:pPr>
      <w:r>
        <w:rPr>
          <w:rFonts w:hAnsi="宋体" w:hint="eastAsia"/>
          <w:sz w:val="24"/>
          <w:szCs w:val="24"/>
        </w:rPr>
        <w:t>入库贮存前必须抽样检验，用于盛装变压器油的容器，必须完整、清洁、不漏、防止污染，产品入库</w:t>
      </w:r>
      <w:r>
        <w:rPr>
          <w:rFonts w:hAnsi="宋体" w:hint="eastAsia"/>
          <w:sz w:val="24"/>
        </w:rPr>
        <w:t>贮存期限0.5年</w:t>
      </w:r>
      <w:r>
        <w:rPr>
          <w:rFonts w:hAnsi="宋体" w:hint="eastAsia"/>
          <w:sz w:val="24"/>
          <w:szCs w:val="24"/>
        </w:rPr>
        <w:t>。</w:t>
      </w:r>
    </w:p>
    <w:p w:rsidR="00FE1B42" w:rsidRDefault="00FE1B42" w:rsidP="00FE1B42">
      <w:pPr>
        <w:numPr>
          <w:ilvl w:val="0"/>
          <w:numId w:val="1"/>
        </w:numPr>
        <w:spacing w:line="360" w:lineRule="auto"/>
        <w:rPr>
          <w:rFonts w:ascii="宋体" w:hAnsi="宋体" w:hint="eastAsia"/>
          <w:sz w:val="24"/>
        </w:rPr>
      </w:pPr>
      <w:r>
        <w:rPr>
          <w:rFonts w:ascii="宋体" w:hAnsi="宋体" w:hint="eastAsia"/>
          <w:sz w:val="24"/>
        </w:rPr>
        <w:t>验收</w:t>
      </w:r>
    </w:p>
    <w:p w:rsidR="00FE1B42" w:rsidRDefault="00FE1B42" w:rsidP="00FE1B42">
      <w:pPr>
        <w:pStyle w:val="a7"/>
        <w:spacing w:line="400" w:lineRule="exact"/>
        <w:ind w:firstLine="480"/>
        <w:rPr>
          <w:rFonts w:hAnsi="宋体" w:hint="eastAsia"/>
          <w:sz w:val="24"/>
          <w:szCs w:val="24"/>
        </w:rPr>
      </w:pPr>
      <w:r>
        <w:rPr>
          <w:rFonts w:hAnsi="宋体" w:hint="eastAsia"/>
          <w:sz w:val="24"/>
          <w:szCs w:val="24"/>
        </w:rPr>
        <w:t>产品交货时，按照《原材料检验规范》</w:t>
      </w:r>
      <w:r>
        <w:rPr>
          <w:rFonts w:hAnsi="宋体"/>
          <w:sz w:val="24"/>
          <w:szCs w:val="24"/>
        </w:rPr>
        <w:t xml:space="preserve">Q/WTB </w:t>
      </w:r>
      <w:r>
        <w:rPr>
          <w:rFonts w:hAnsi="宋体" w:hint="eastAsia"/>
          <w:sz w:val="24"/>
          <w:szCs w:val="24"/>
        </w:rPr>
        <w:t>15.7</w:t>
      </w:r>
      <w:r>
        <w:rPr>
          <w:rFonts w:hAnsi="宋体"/>
          <w:sz w:val="24"/>
          <w:szCs w:val="24"/>
        </w:rPr>
        <w:t>—20</w:t>
      </w:r>
      <w:r>
        <w:rPr>
          <w:rFonts w:hAnsi="宋体" w:hint="eastAsia"/>
          <w:sz w:val="24"/>
          <w:szCs w:val="24"/>
        </w:rPr>
        <w:t>11规定要求验收。除了抽样验收外还应查阅供应商的产品检验报告。</w:t>
      </w:r>
    </w:p>
    <w:p w:rsidR="00FE1B42" w:rsidRDefault="00FE1B42" w:rsidP="00FE1B42">
      <w:pPr>
        <w:pStyle w:val="a7"/>
        <w:spacing w:line="400" w:lineRule="exact"/>
        <w:ind w:firstLineChars="182" w:firstLine="437"/>
        <w:rPr>
          <w:rFonts w:hAnsi="宋体"/>
          <w:sz w:val="24"/>
          <w:szCs w:val="24"/>
        </w:rPr>
      </w:pPr>
      <w:r>
        <w:rPr>
          <w:rFonts w:hAnsi="宋体" w:hint="eastAsia"/>
          <w:sz w:val="24"/>
          <w:szCs w:val="24"/>
        </w:rPr>
        <w:t>交货时，供应商应提供以下书面材料</w:t>
      </w:r>
      <w:r>
        <w:rPr>
          <w:rFonts w:hAnsi="宋体"/>
          <w:sz w:val="24"/>
          <w:szCs w:val="24"/>
        </w:rPr>
        <w:t>:</w:t>
      </w:r>
    </w:p>
    <w:p w:rsidR="00FE1B42" w:rsidRDefault="00FE1B42" w:rsidP="00FE1B42">
      <w:pPr>
        <w:numPr>
          <w:ilvl w:val="0"/>
          <w:numId w:val="4"/>
        </w:numPr>
        <w:spacing w:line="400" w:lineRule="exact"/>
        <w:ind w:firstLine="66"/>
        <w:rPr>
          <w:rFonts w:ascii="宋体" w:hAnsi="宋体" w:hint="eastAsia"/>
          <w:sz w:val="24"/>
        </w:rPr>
      </w:pPr>
      <w:r>
        <w:rPr>
          <w:rFonts w:ascii="宋体" w:hAnsi="宋体" w:hint="eastAsia"/>
          <w:sz w:val="24"/>
        </w:rPr>
        <w:t>生产厂名称、地址、联系电话；</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hAnsi="宋体" w:hint="eastAsia"/>
          <w:sz w:val="24"/>
        </w:rPr>
        <w:t>产品名称、型号规格</w:t>
      </w:r>
      <w:r>
        <w:rPr>
          <w:rFonts w:hAnsi="宋体" w:hint="eastAsia"/>
          <w:sz w:val="24"/>
        </w:rPr>
        <w:t>;</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ascii="宋体" w:hAnsi="宋体" w:hint="eastAsia"/>
          <w:sz w:val="24"/>
        </w:rPr>
        <w:t>生产批号、生产日期；</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ascii="宋体" w:hAnsi="宋体" w:hint="eastAsia"/>
          <w:sz w:val="24"/>
        </w:rPr>
        <w:t>产品执行标准；</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ascii="宋体" w:hAnsi="宋体" w:hint="eastAsia"/>
          <w:sz w:val="24"/>
        </w:rPr>
        <w:t>产品检测报告或检验合格证；</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ascii="宋体" w:hAnsi="宋体" w:hint="eastAsia"/>
          <w:sz w:val="24"/>
        </w:rPr>
        <w:t>如果是首次供应商,还应提供第三方检测报告；</w:t>
      </w:r>
    </w:p>
    <w:p w:rsidR="00FE1B42" w:rsidRDefault="00FE1B42" w:rsidP="00FE1B42">
      <w:pPr>
        <w:numPr>
          <w:ilvl w:val="0"/>
          <w:numId w:val="4"/>
        </w:numPr>
        <w:spacing w:line="400" w:lineRule="exact"/>
        <w:ind w:leftChars="205" w:left="850" w:hangingChars="175" w:hanging="420"/>
        <w:rPr>
          <w:rFonts w:ascii="宋体" w:hAnsi="宋体" w:hint="eastAsia"/>
          <w:sz w:val="24"/>
        </w:rPr>
      </w:pPr>
      <w:r>
        <w:rPr>
          <w:rFonts w:ascii="宋体" w:hAnsi="宋体" w:hint="eastAsia"/>
          <w:sz w:val="24"/>
        </w:rPr>
        <w:t>产品使用说明书。</w:t>
      </w:r>
    </w:p>
    <w:p w:rsidR="00FE1B42" w:rsidRDefault="00FE1B42" w:rsidP="00FE1B42">
      <w:pPr>
        <w:numPr>
          <w:ilvl w:val="0"/>
          <w:numId w:val="4"/>
        </w:numPr>
        <w:spacing w:line="400" w:lineRule="exact"/>
        <w:ind w:left="0" w:firstLineChars="177" w:firstLine="425"/>
        <w:rPr>
          <w:rFonts w:ascii="宋体" w:hAnsi="宋体" w:hint="eastAsia"/>
          <w:sz w:val="24"/>
        </w:rPr>
      </w:pPr>
      <w:r>
        <w:rPr>
          <w:rFonts w:ascii="宋体" w:hAnsi="宋体" w:hint="eastAsia"/>
          <w:sz w:val="24"/>
        </w:rPr>
        <w:t>重量。</w:t>
      </w:r>
    </w:p>
    <w:p w:rsidR="00FE1B42" w:rsidRDefault="00FE1B42" w:rsidP="00FE1B42">
      <w:pPr>
        <w:spacing w:line="400" w:lineRule="exact"/>
        <w:rPr>
          <w:rFonts w:ascii="宋体" w:hAnsi="宋体" w:hint="eastAsia"/>
          <w:sz w:val="24"/>
        </w:rPr>
      </w:pPr>
    </w:p>
    <w:p w:rsidR="00FE1B42" w:rsidRDefault="00FE1B42" w:rsidP="00FE1B42">
      <w:pPr>
        <w:pStyle w:val="a7"/>
        <w:spacing w:line="360" w:lineRule="auto"/>
        <w:ind w:firstLine="480"/>
        <w:rPr>
          <w:rFonts w:hint="eastAsia"/>
          <w:sz w:val="24"/>
          <w:szCs w:val="24"/>
        </w:rPr>
      </w:pPr>
      <w:r>
        <w:rPr>
          <w:rFonts w:hAnsi="宋体" w:hint="eastAsia"/>
          <w:sz w:val="24"/>
          <w:szCs w:val="24"/>
        </w:rPr>
        <w:t>附加说明：本规范由海南威特电气集团有限公司提出并起草。</w:t>
      </w:r>
    </w:p>
    <w:p w:rsidR="00C91962" w:rsidRPr="00FE1B42" w:rsidRDefault="00C91962"/>
    <w:sectPr w:rsidR="00C91962" w:rsidRPr="00FE1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62" w:rsidRDefault="00C91962" w:rsidP="00FE1B42">
      <w:r>
        <w:separator/>
      </w:r>
    </w:p>
  </w:endnote>
  <w:endnote w:type="continuationSeparator" w:id="1">
    <w:p w:rsidR="00C91962" w:rsidRDefault="00C91962" w:rsidP="00FE1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62" w:rsidRDefault="00C91962" w:rsidP="00FE1B42">
      <w:r>
        <w:separator/>
      </w:r>
    </w:p>
  </w:footnote>
  <w:footnote w:type="continuationSeparator" w:id="1">
    <w:p w:rsidR="00C91962" w:rsidRDefault="00C91962" w:rsidP="00FE1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4079"/>
    <w:multiLevelType w:val="multilevel"/>
    <w:tmpl w:val="2832407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FC00CD8"/>
    <w:multiLevelType w:val="multilevel"/>
    <w:tmpl w:val="5FC00CD8"/>
    <w:lvl w:ilvl="0">
      <w:start w:val="1"/>
      <w:numFmt w:val="decimal"/>
      <w:suff w:val="spac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5958F0"/>
    <w:multiLevelType w:val="multilevel"/>
    <w:tmpl w:val="615958F0"/>
    <w:lvl w:ilvl="0">
      <w:start w:val="1"/>
      <w:numFmt w:val="decimal"/>
      <w:suff w:val="space"/>
      <w:lvlText w:val="%1）"/>
      <w:lvlJc w:val="left"/>
      <w:pPr>
        <w:ind w:left="420" w:hanging="420"/>
      </w:pPr>
      <w:rPr>
        <w:rFonts w:ascii="宋体" w:eastAsia="宋体" w:hAnsi="宋体"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6651DD"/>
    <w:multiLevelType w:val="multilevel"/>
    <w:tmpl w:val="776651DD"/>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B42"/>
    <w:rsid w:val="00C91962"/>
    <w:rsid w:val="00FE1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1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1B42"/>
    <w:rPr>
      <w:sz w:val="18"/>
      <w:szCs w:val="18"/>
    </w:rPr>
  </w:style>
  <w:style w:type="paragraph" w:styleId="a4">
    <w:name w:val="footer"/>
    <w:basedOn w:val="a"/>
    <w:link w:val="Char0"/>
    <w:uiPriority w:val="99"/>
    <w:semiHidden/>
    <w:unhideWhenUsed/>
    <w:rsid w:val="00FE1B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1B42"/>
    <w:rPr>
      <w:sz w:val="18"/>
      <w:szCs w:val="18"/>
    </w:rPr>
  </w:style>
  <w:style w:type="character" w:customStyle="1" w:styleId="Char1">
    <w:name w:val="标题 Char"/>
    <w:basedOn w:val="a0"/>
    <w:link w:val="a5"/>
    <w:rsid w:val="00FE1B42"/>
    <w:rPr>
      <w:rFonts w:ascii="Cambria" w:hAnsi="Cambria" w:cs="Times New Roman"/>
      <w:b/>
      <w:bCs/>
      <w:sz w:val="32"/>
      <w:szCs w:val="32"/>
    </w:rPr>
  </w:style>
  <w:style w:type="paragraph" w:styleId="a6">
    <w:name w:val="List Paragraph"/>
    <w:basedOn w:val="a"/>
    <w:uiPriority w:val="34"/>
    <w:qFormat/>
    <w:rsid w:val="00FE1B42"/>
    <w:pPr>
      <w:ind w:firstLineChars="200" w:firstLine="420"/>
    </w:pPr>
    <w:rPr>
      <w:rFonts w:ascii="Calibri" w:hAnsi="Calibri"/>
      <w:szCs w:val="22"/>
    </w:rPr>
  </w:style>
  <w:style w:type="paragraph" w:customStyle="1" w:styleId="a7">
    <w:name w:val="段"/>
    <w:rsid w:val="00FE1B42"/>
    <w:pPr>
      <w:autoSpaceDE w:val="0"/>
      <w:autoSpaceDN w:val="0"/>
      <w:ind w:firstLineChars="200" w:firstLine="200"/>
      <w:jc w:val="both"/>
    </w:pPr>
    <w:rPr>
      <w:rFonts w:ascii="宋体" w:eastAsia="宋体" w:hAnsi="Times New Roman" w:cs="Times New Roman"/>
      <w:kern w:val="0"/>
      <w:szCs w:val="20"/>
    </w:rPr>
  </w:style>
  <w:style w:type="paragraph" w:styleId="a5">
    <w:name w:val="Title"/>
    <w:basedOn w:val="a"/>
    <w:next w:val="a"/>
    <w:link w:val="Char1"/>
    <w:qFormat/>
    <w:rsid w:val="00FE1B42"/>
    <w:pPr>
      <w:spacing w:before="240" w:after="60"/>
      <w:jc w:val="center"/>
      <w:outlineLvl w:val="0"/>
    </w:pPr>
    <w:rPr>
      <w:rFonts w:ascii="Cambria" w:eastAsiaTheme="minorEastAsia" w:hAnsi="Cambria"/>
      <w:b/>
      <w:bCs/>
      <w:sz w:val="32"/>
      <w:szCs w:val="32"/>
    </w:rPr>
  </w:style>
  <w:style w:type="character" w:customStyle="1" w:styleId="Char10">
    <w:name w:val="标题 Char1"/>
    <w:basedOn w:val="a0"/>
    <w:link w:val="a5"/>
    <w:uiPriority w:val="10"/>
    <w:rsid w:val="00FE1B4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1551</Characters>
  <Application>Microsoft Office Word</Application>
  <DocSecurity>0</DocSecurity>
  <Lines>12</Lines>
  <Paragraphs>3</Paragraphs>
  <ScaleCrop>false</ScaleCrop>
  <Company>Www.SangSan.Cn</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2017-04-10T12:10:00Z</dcterms:created>
  <dcterms:modified xsi:type="dcterms:W3CDTF">2017-04-10T12:10:00Z</dcterms:modified>
</cp:coreProperties>
</file>